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151765</wp:posOffset>
            </wp:positionH>
            <wp:positionV relativeFrom="page">
              <wp:posOffset>435610</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474980</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UNITED STATES</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1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right="-14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ind w:left="361" w:hanging="361"/>
        <w:spacing w:after="0"/>
        <w:tabs>
          <w:tab w:leader="none" w:pos="361" w:val="left"/>
        </w:tabs>
        <w:numPr>
          <w:ilvl w:val="0"/>
          <w:numId w:val="1"/>
        </w:numPr>
        <w:rPr>
          <w:rFonts w:ascii="Arial" w:cs="Arial" w:eastAsia="Arial" w:hAnsi="Arial"/>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For the Quarterly Period Ended March 31, 2013</w:t>
      </w:r>
    </w:p>
    <w:p>
      <w:pPr>
        <w:spacing w:after="0" w:line="140"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or</w:t>
      </w:r>
    </w:p>
    <w:p>
      <w:pPr>
        <w:spacing w:after="0" w:line="143" w:lineRule="exact"/>
        <w:rPr>
          <w:sz w:val="24"/>
          <w:szCs w:val="24"/>
          <w:color w:val="auto"/>
        </w:rPr>
      </w:pPr>
    </w:p>
    <w:p>
      <w:pPr>
        <w:ind w:left="401"/>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1"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109855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0" w:lineRule="exact"/>
        <w:rPr>
          <w:sz w:val="24"/>
          <w:szCs w:val="24"/>
          <w:color w:val="auto"/>
        </w:rPr>
      </w:pPr>
    </w:p>
    <w:p>
      <w:pPr>
        <w:jc w:val="center"/>
        <w:ind w:right="-14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88900</wp:posOffset>
            </wp:positionV>
            <wp:extent cx="271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6" w:lineRule="exact"/>
        <w:rPr>
          <w:sz w:val="24"/>
          <w:szCs w:val="24"/>
          <w:color w:val="auto"/>
        </w:rPr>
      </w:pPr>
    </w:p>
    <w:tbl>
      <w:tblPr>
        <w:tblLayout w:type="fixed"/>
        <w:tblInd w:w="1301" w:type="dxa"/>
        <w:tblCellMar>
          <w:top w:w="0" w:type="dxa"/>
          <w:left w:w="0" w:type="dxa"/>
          <w:bottom w:w="0" w:type="dxa"/>
          <w:right w:w="0" w:type="dxa"/>
        </w:tblCellMar>
      </w:tblPr>
      <w:tr>
        <w:trPr>
          <w:trHeight w:val="195"/>
        </w:trPr>
        <w:tc>
          <w:tcPr>
            <w:tcW w:w="6360" w:type="dxa"/>
            <w:vAlign w:val="bottom"/>
          </w:tcPr>
          <w:p>
            <w:pPr>
              <w:jc w:val="center"/>
              <w:ind w:right="3169"/>
              <w:spacing w:after="0"/>
              <w:rPr>
                <w:sz w:val="20"/>
                <w:szCs w:val="20"/>
                <w:color w:val="auto"/>
              </w:rPr>
            </w:pPr>
            <w:r>
              <w:rPr>
                <w:rFonts w:ascii="Arial" w:cs="Arial" w:eastAsia="Arial" w:hAnsi="Arial"/>
                <w:sz w:val="17"/>
                <w:szCs w:val="17"/>
                <w:b w:val="1"/>
                <w:bCs w:val="1"/>
                <w:color w:val="auto"/>
                <w:w w:val="96"/>
              </w:rPr>
              <w:t>Delaware</w:t>
            </w:r>
          </w:p>
        </w:tc>
        <w:tc>
          <w:tcPr>
            <w:tcW w:w="144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6360" w:type="dxa"/>
            <w:vAlign w:val="bottom"/>
          </w:tcPr>
          <w:p>
            <w:pPr>
              <w:jc w:val="center"/>
              <w:ind w:right="3169"/>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1440" w:type="dxa"/>
            <w:vAlign w:val="bottom"/>
          </w:tcPr>
          <w:p>
            <w:pPr>
              <w:jc w:val="center"/>
              <w:ind w:left="33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6360" w:type="dxa"/>
            <w:vAlign w:val="bottom"/>
          </w:tcPr>
          <w:p>
            <w:pPr>
              <w:jc w:val="center"/>
              <w:ind w:right="3169"/>
              <w:spacing w:after="0"/>
              <w:rPr>
                <w:sz w:val="20"/>
                <w:szCs w:val="20"/>
                <w:color w:val="auto"/>
              </w:rPr>
            </w:pPr>
            <w:r>
              <w:rPr>
                <w:rFonts w:ascii="Arial" w:cs="Arial" w:eastAsia="Arial" w:hAnsi="Arial"/>
                <w:sz w:val="12"/>
                <w:szCs w:val="12"/>
                <w:b w:val="1"/>
                <w:bCs w:val="1"/>
                <w:color w:val="auto"/>
              </w:rPr>
              <w:t>incorporation or organization)</w:t>
            </w:r>
          </w:p>
        </w:tc>
        <w:tc>
          <w:tcPr>
            <w:tcW w:w="1440" w:type="dxa"/>
            <w:vAlign w:val="bottom"/>
          </w:tcPr>
          <w:p>
            <w:pPr>
              <w:jc w:val="center"/>
              <w:ind w:left="33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360" w:type="dxa"/>
            <w:vAlign w:val="bottom"/>
          </w:tcPr>
          <w:p>
            <w:pPr>
              <w:jc w:val="center"/>
              <w:ind w:right="3169"/>
              <w:spacing w:after="0"/>
              <w:rPr>
                <w:sz w:val="20"/>
                <w:szCs w:val="20"/>
                <w:color w:val="auto"/>
              </w:rPr>
            </w:pPr>
            <w:r>
              <w:rPr>
                <w:rFonts w:ascii="Arial" w:cs="Arial" w:eastAsia="Arial" w:hAnsi="Arial"/>
                <w:sz w:val="17"/>
                <w:szCs w:val="17"/>
                <w:b w:val="1"/>
                <w:bCs w:val="1"/>
                <w:color w:val="auto"/>
                <w:w w:val="96"/>
              </w:rPr>
              <w:t>1150 15th Street, N.W. Washington, D.C.</w:t>
            </w:r>
          </w:p>
        </w:tc>
        <w:tc>
          <w:tcPr>
            <w:tcW w:w="144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360" w:type="dxa"/>
            <w:vAlign w:val="bottom"/>
          </w:tcPr>
          <w:p>
            <w:pPr>
              <w:jc w:val="center"/>
              <w:ind w:right="3169"/>
              <w:spacing w:after="0"/>
              <w:rPr>
                <w:sz w:val="20"/>
                <w:szCs w:val="20"/>
                <w:color w:val="auto"/>
              </w:rPr>
            </w:pPr>
            <w:r>
              <w:rPr>
                <w:rFonts w:ascii="Arial" w:cs="Arial" w:eastAsia="Arial" w:hAnsi="Arial"/>
                <w:sz w:val="12"/>
                <w:szCs w:val="12"/>
                <w:b w:val="1"/>
                <w:bCs w:val="1"/>
                <w:color w:val="auto"/>
              </w:rPr>
              <w:t>(Address of principal executive offices)</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6360" w:type="dxa"/>
            <w:vAlign w:val="bottom"/>
          </w:tcPr>
          <w:p>
            <w:pPr>
              <w:jc w:val="right"/>
              <w:ind w:right="1309"/>
              <w:spacing w:after="0"/>
              <w:rPr>
                <w:sz w:val="20"/>
                <w:szCs w:val="20"/>
                <w:color w:val="auto"/>
              </w:rPr>
            </w:pPr>
            <w:r>
              <w:rPr>
                <w:rFonts w:ascii="Arial" w:cs="Arial" w:eastAsia="Arial" w:hAnsi="Arial"/>
                <w:sz w:val="17"/>
                <w:szCs w:val="17"/>
                <w:b w:val="1"/>
                <w:bCs w:val="1"/>
                <w:color w:val="auto"/>
              </w:rPr>
              <w:t>(202) 334-6000</w:t>
            </w:r>
          </w:p>
        </w:tc>
        <w:tc>
          <w:tcPr>
            <w:tcW w:w="1440" w:type="dxa"/>
            <w:vAlign w:val="bottom"/>
          </w:tcPr>
          <w:p>
            <w:pPr>
              <w:spacing w:after="0"/>
              <w:rPr>
                <w:sz w:val="24"/>
                <w:szCs w:val="24"/>
                <w:color w:val="auto"/>
              </w:rPr>
            </w:pPr>
          </w:p>
        </w:tc>
      </w:tr>
      <w:tr>
        <w:trPr>
          <w:trHeight w:val="162"/>
        </w:trPr>
        <w:tc>
          <w:tcPr>
            <w:tcW w:w="6360" w:type="dxa"/>
            <w:vAlign w:val="bottom"/>
          </w:tcPr>
          <w:p>
            <w:pPr>
              <w:jc w:val="center"/>
              <w:ind w:left="2389"/>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1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95250</wp:posOffset>
            </wp:positionV>
            <wp:extent cx="2718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16" w:lineRule="exact"/>
        <w:rPr>
          <w:sz w:val="24"/>
          <w:szCs w:val="24"/>
          <w:color w:val="auto"/>
        </w:rPr>
      </w:pPr>
    </w:p>
    <w:p>
      <w:pPr>
        <w:jc w:val="both"/>
        <w:ind w:left="1" w:right="300"/>
        <w:spacing w:after="0" w:line="19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ind w:left="1"/>
        <w:spacing w:after="0" w:line="19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ind w:left="1" w:right="140"/>
        <w:spacing w:after="0" w:line="23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w:t>
      </w:r>
    </w:p>
    <w:p>
      <w:pPr>
        <w:spacing w:after="0" w:line="121" w:lineRule="exact"/>
        <w:rPr>
          <w:sz w:val="24"/>
          <w:szCs w:val="24"/>
          <w:color w:val="auto"/>
        </w:rPr>
      </w:pPr>
    </w:p>
    <w:p>
      <w:pPr>
        <w:ind w:left="1"/>
        <w:spacing w:after="0" w:line="196" w:lineRule="exact"/>
        <w:tabs>
          <w:tab w:leader="none" w:pos="2161" w:val="left"/>
          <w:tab w:leader="none" w:pos="3061" w:val="left"/>
          <w:tab w:leader="none" w:pos="4781" w:val="left"/>
          <w:tab w:leader="none" w:pos="5821" w:val="left"/>
          <w:tab w:leader="none" w:pos="7901" w:val="left"/>
          <w:tab w:leader="none" w:pos="8561" w:val="left"/>
          <w:tab w:leader="none" w:pos="10961"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left="1"/>
        <w:spacing w:after="0" w:line="184" w:lineRule="exact"/>
        <w:tabs>
          <w:tab w:leader="none" w:pos="7581" w:val="left"/>
          <w:tab w:leader="none" w:pos="8261"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5"/>
          <w:szCs w:val="15"/>
          <w:color w:val="auto"/>
        </w:rPr>
        <w:t>.</w:t>
        <w:tab/>
        <w:t xml:space="preserve">No </w:t>
      </w:r>
      <w:r>
        <w:rPr>
          <w:rFonts w:ascii="Arial" w:cs="Arial" w:eastAsia="Arial" w:hAnsi="Arial"/>
          <w:sz w:val="16"/>
          <w:szCs w:val="16"/>
          <w:color w:val="auto"/>
        </w:rPr>
        <w:t>x</w:t>
      </w:r>
      <w:r>
        <w:rPr>
          <w:rFonts w:ascii="Arial" w:cs="Arial" w:eastAsia="Arial" w:hAnsi="Arial"/>
          <w:sz w:val="15"/>
          <w:szCs w:val="15"/>
          <w:color w:val="auto"/>
        </w:rPr>
        <w:t>.</w:t>
      </w:r>
    </w:p>
    <w:p>
      <w:pPr>
        <w:spacing w:after="0" w:line="205" w:lineRule="exact"/>
        <w:rPr>
          <w:sz w:val="24"/>
          <w:szCs w:val="24"/>
          <w:color w:val="auto"/>
        </w:rPr>
      </w:pPr>
    </w:p>
    <w:p>
      <w:pPr>
        <w:ind w:left="1"/>
        <w:spacing w:after="0"/>
        <w:rPr>
          <w:sz w:val="20"/>
          <w:szCs w:val="20"/>
          <w:color w:val="auto"/>
        </w:rPr>
      </w:pPr>
      <w:r>
        <w:rPr>
          <w:rFonts w:ascii="Arial" w:cs="Arial" w:eastAsia="Arial" w:hAnsi="Arial"/>
          <w:sz w:val="17"/>
          <w:szCs w:val="17"/>
          <w:color w:val="auto"/>
        </w:rPr>
        <w:t>Shares outstanding at May 3, 2013:</w:t>
      </w:r>
    </w:p>
    <w:p>
      <w:pPr>
        <w:spacing w:after="0" w:line="81" w:lineRule="exact"/>
        <w:rPr>
          <w:sz w:val="24"/>
          <w:szCs w:val="24"/>
          <w:color w:val="auto"/>
        </w:rPr>
      </w:pPr>
    </w:p>
    <w:p>
      <w:pPr>
        <w:ind w:left="2381"/>
        <w:spacing w:after="0"/>
        <w:rPr>
          <w:sz w:val="20"/>
          <w:szCs w:val="20"/>
          <w:color w:val="auto"/>
        </w:rPr>
      </w:pPr>
      <w:r>
        <w:rPr>
          <w:rFonts w:ascii="Arial" w:cs="Arial" w:eastAsia="Arial" w:hAnsi="Arial"/>
          <w:sz w:val="17"/>
          <w:szCs w:val="17"/>
          <w:color w:val="auto"/>
        </w:rPr>
        <w:t>Class A Common Stock – 1,219,383 Shares</w:t>
      </w:r>
    </w:p>
    <w:p>
      <w:pPr>
        <w:ind w:left="2381"/>
        <w:spacing w:after="0"/>
        <w:rPr>
          <w:sz w:val="20"/>
          <w:szCs w:val="20"/>
          <w:color w:val="auto"/>
        </w:rPr>
      </w:pPr>
      <w:r>
        <w:rPr>
          <w:rFonts w:ascii="Arial" w:cs="Arial" w:eastAsia="Arial" w:hAnsi="Arial"/>
          <w:sz w:val="17"/>
          <w:szCs w:val="17"/>
          <w:color w:val="auto"/>
        </w:rPr>
        <w:t>Class B Common Stock – 6,202,149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2574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582930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01"/>
          </w:cols>
          <w:pgMar w:left="239" w:top="837" w:right="359" w:bottom="1440" w:gutter="0" w:footer="0" w:header="0"/>
        </w:sectPr>
      </w:pPr>
    </w:p>
    <w:bookmarkStart w:id="1" w:name="page2"/>
    <w:bookmarkEnd w:id="1"/>
    <w:p>
      <w:pPr>
        <w:jc w:val="center"/>
        <w:ind w:left="1140"/>
        <w:spacing w:after="0"/>
        <w:rPr>
          <w:sz w:val="20"/>
          <w:szCs w:val="20"/>
          <w:color w:val="auto"/>
        </w:rPr>
      </w:pPr>
      <w:r>
        <w:rPr>
          <w:rFonts w:ascii="Arial" w:cs="Arial" w:eastAsia="Arial" w:hAnsi="Arial"/>
          <w:sz w:val="17"/>
          <w:szCs w:val="17"/>
          <w:b w:val="1"/>
          <w:bCs w:val="1"/>
          <w:color w:val="auto"/>
        </w:rPr>
        <w:t>THE WASHINGTON POST COMPANY</w:t>
      </w:r>
    </w:p>
    <w:p>
      <w:pPr>
        <w:spacing w:after="0" w:line="65"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Index to Form 10-Q</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PART I. FINANCIAL INFORMATION</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4"/>
          <w:szCs w:val="14"/>
          <w:color w:val="auto"/>
        </w:rPr>
        <w:t>Financial Statements</w:t>
      </w:r>
    </w:p>
    <w:p>
      <w:pPr>
        <w:spacing w:after="0" w:line="175" w:lineRule="exact"/>
        <w:rPr>
          <w:sz w:val="20"/>
          <w:szCs w:val="20"/>
          <w:color w:val="auto"/>
        </w:rPr>
      </w:pPr>
    </w:p>
    <w:p>
      <w:pPr>
        <w:ind w:left="1120" w:right="1680" w:hanging="314"/>
        <w:spacing w:after="0" w:line="250" w:lineRule="auto"/>
        <w:tabs>
          <w:tab w:leader="none" w:pos="1129"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Operations (Unaudited) for the Three Months Ended March 31, 2013 and 2012</w:t>
      </w:r>
    </w:p>
    <w:p>
      <w:pPr>
        <w:spacing w:after="0" w:line="323" w:lineRule="exact"/>
        <w:rPr>
          <w:rFonts w:ascii="Arial" w:cs="Arial" w:eastAsia="Arial" w:hAnsi="Arial"/>
          <w:sz w:val="15"/>
          <w:szCs w:val="15"/>
          <w:color w:val="auto"/>
        </w:rPr>
      </w:pPr>
    </w:p>
    <w:p>
      <w:pPr>
        <w:ind w:left="1140" w:hanging="334"/>
        <w:spacing w:after="0"/>
        <w:tabs>
          <w:tab w:leader="none" w:pos="114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Condensed Consolidated Statements of Comprehensive Income (Unaudited) for the Three Months Ended March 31, 2013 and 2012</w:t>
      </w:r>
    </w:p>
    <w:p>
      <w:pPr>
        <w:spacing w:after="0" w:line="347" w:lineRule="exact"/>
        <w:rPr>
          <w:rFonts w:ascii="Arial" w:cs="Arial" w:eastAsia="Arial" w:hAnsi="Arial"/>
          <w:sz w:val="14"/>
          <w:szCs w:val="14"/>
          <w:color w:val="auto"/>
        </w:rPr>
      </w:pPr>
    </w:p>
    <w:p>
      <w:pPr>
        <w:ind w:left="1160" w:hanging="354"/>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Balance Sheets at March 31, 2013 (Unaudited) and December 31, 2012</w:t>
      </w:r>
    </w:p>
    <w:p>
      <w:pPr>
        <w:spacing w:after="0" w:line="336" w:lineRule="exact"/>
        <w:rPr>
          <w:rFonts w:ascii="Arial" w:cs="Arial" w:eastAsia="Arial" w:hAnsi="Arial"/>
          <w:sz w:val="15"/>
          <w:szCs w:val="15"/>
          <w:color w:val="auto"/>
        </w:rPr>
      </w:pPr>
    </w:p>
    <w:p>
      <w:pPr>
        <w:ind w:left="1140" w:hanging="334"/>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Cash Flows (Unaudited) for the Three Months Ended March 31, 2013 and 2012</w:t>
      </w:r>
    </w:p>
    <w:p>
      <w:pPr>
        <w:spacing w:after="0" w:line="336" w:lineRule="exact"/>
        <w:rPr>
          <w:rFonts w:ascii="Arial" w:cs="Arial" w:eastAsia="Arial" w:hAnsi="Arial"/>
          <w:sz w:val="15"/>
          <w:szCs w:val="15"/>
          <w:color w:val="auto"/>
        </w:rPr>
      </w:pPr>
    </w:p>
    <w:p>
      <w:pPr>
        <w:ind w:left="1140" w:hanging="334"/>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Notes to Condensed Consolidated Financial Statements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0" w:type="dxa"/>
            <w:vAlign w:val="bottom"/>
          </w:tcPr>
          <w:p>
            <w:pPr>
              <w:spacing w:after="0"/>
              <w:rPr>
                <w:sz w:val="20"/>
                <w:szCs w:val="20"/>
                <w:color w:val="auto"/>
              </w:rPr>
            </w:pPr>
            <w:r>
              <w:rPr>
                <w:rFonts w:ascii="Arial" w:cs="Arial" w:eastAsia="Arial" w:hAnsi="Arial"/>
                <w:sz w:val="15"/>
                <w:szCs w:val="15"/>
                <w:color w:val="auto"/>
              </w:rPr>
              <w:t>Item 2.</w:t>
            </w:r>
          </w:p>
        </w:tc>
        <w:tc>
          <w:tcPr>
            <w:tcW w:w="5900" w:type="dxa"/>
            <w:vAlign w:val="bottom"/>
          </w:tcPr>
          <w:p>
            <w:pPr>
              <w:ind w:left="40"/>
              <w:spacing w:after="0"/>
              <w:rPr>
                <w:sz w:val="20"/>
                <w:szCs w:val="20"/>
                <w:color w:val="auto"/>
              </w:rPr>
            </w:pPr>
            <w:r>
              <w:rPr>
                <w:rFonts w:ascii="Arial" w:cs="Arial" w:eastAsia="Arial" w:hAnsi="Arial"/>
                <w:sz w:val="15"/>
                <w:szCs w:val="15"/>
                <w:color w:val="auto"/>
                <w:w w:val="98"/>
              </w:rPr>
              <w:t>Management’s Discussion and Analysis of Results of Operations and Financial Condition</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3.</w:t>
            </w:r>
          </w:p>
        </w:tc>
        <w:tc>
          <w:tcPr>
            <w:tcW w:w="5900" w:type="dxa"/>
            <w:vAlign w:val="bottom"/>
          </w:tcPr>
          <w:p>
            <w:pPr>
              <w:ind w:left="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4.</w:t>
            </w:r>
          </w:p>
        </w:tc>
        <w:tc>
          <w:tcPr>
            <w:tcW w:w="5900" w:type="dxa"/>
            <w:vAlign w:val="bottom"/>
          </w:tcPr>
          <w:p>
            <w:pPr>
              <w:ind w:left="40"/>
              <w:spacing w:after="0"/>
              <w:rPr>
                <w:sz w:val="20"/>
                <w:szCs w:val="20"/>
                <w:color w:val="auto"/>
              </w:rPr>
            </w:pPr>
            <w:r>
              <w:rPr>
                <w:rFonts w:ascii="Arial" w:cs="Arial" w:eastAsia="Arial" w:hAnsi="Arial"/>
                <w:sz w:val="15"/>
                <w:szCs w:val="15"/>
                <w:color w:val="auto"/>
              </w:rPr>
              <w:t>Controls and Procedures</w:t>
            </w:r>
          </w:p>
        </w:tc>
      </w:tr>
      <w:tr>
        <w:trPr>
          <w:trHeight w:val="347"/>
        </w:trPr>
        <w:tc>
          <w:tcPr>
            <w:tcW w:w="6660" w:type="dxa"/>
            <w:vAlign w:val="bottom"/>
            <w:gridSpan w:val="2"/>
          </w:tcPr>
          <w:p>
            <w:pPr>
              <w:spacing w:after="0"/>
              <w:rPr>
                <w:sz w:val="20"/>
                <w:szCs w:val="20"/>
                <w:color w:val="auto"/>
              </w:rPr>
            </w:pPr>
            <w:r>
              <w:rPr>
                <w:rFonts w:ascii="Arial" w:cs="Arial" w:eastAsia="Arial" w:hAnsi="Arial"/>
                <w:sz w:val="15"/>
                <w:szCs w:val="15"/>
                <w:color w:val="auto"/>
              </w:rPr>
              <w:t>PART II. OTHER INFORMATION</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2.</w:t>
            </w:r>
          </w:p>
        </w:tc>
        <w:tc>
          <w:tcPr>
            <w:tcW w:w="5900" w:type="dxa"/>
            <w:vAlign w:val="bottom"/>
          </w:tcPr>
          <w:p>
            <w:pPr>
              <w:ind w:left="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6.</w:t>
            </w:r>
          </w:p>
        </w:tc>
        <w:tc>
          <w:tcPr>
            <w:tcW w:w="5900" w:type="dxa"/>
            <w:vAlign w:val="bottom"/>
          </w:tcPr>
          <w:p>
            <w:pPr>
              <w:ind w:left="40"/>
              <w:spacing w:after="0"/>
              <w:rPr>
                <w:sz w:val="20"/>
                <w:szCs w:val="20"/>
                <w:color w:val="auto"/>
              </w:rPr>
            </w:pPr>
            <w:r>
              <w:rPr>
                <w:rFonts w:ascii="Arial" w:cs="Arial" w:eastAsia="Arial" w:hAnsi="Arial"/>
                <w:sz w:val="15"/>
                <w:szCs w:val="15"/>
                <w:color w:val="auto"/>
              </w:rPr>
              <w:t>Exhibits</w:t>
            </w:r>
          </w:p>
        </w:tc>
      </w:tr>
      <w:tr>
        <w:trPr>
          <w:trHeight w:val="347"/>
        </w:trPr>
        <w:tc>
          <w:tcPr>
            <w:tcW w:w="760" w:type="dxa"/>
            <w:vAlign w:val="bottom"/>
          </w:tcPr>
          <w:p>
            <w:pPr>
              <w:spacing w:after="0"/>
              <w:rPr>
                <w:sz w:val="20"/>
                <w:szCs w:val="20"/>
                <w:color w:val="auto"/>
              </w:rPr>
            </w:pPr>
            <w:r>
              <w:rPr>
                <w:rFonts w:ascii="Arial" w:cs="Arial" w:eastAsia="Arial" w:hAnsi="Arial"/>
                <w:sz w:val="15"/>
                <w:szCs w:val="15"/>
                <w:color w:val="auto"/>
              </w:rPr>
              <w:t>Signatures</w:t>
            </w:r>
          </w:p>
        </w:tc>
        <w:tc>
          <w:tcPr>
            <w:tcW w:w="5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678815</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5</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2">
            <w:col w:w="10300" w:space="720"/>
            <w:col w:w="160"/>
          </w:cols>
          <w:pgMar w:left="240" w:top="789"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0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2"/>
                <w:szCs w:val="12"/>
                <w:b w:val="1"/>
                <w:bCs w:val="1"/>
                <w:color w:val="auto"/>
              </w:rPr>
              <w:t>March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2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59"/>
              <w:spacing w:after="0" w:line="129" w:lineRule="exact"/>
              <w:rPr>
                <w:sz w:val="20"/>
                <w:szCs w:val="20"/>
                <w:color w:val="auto"/>
              </w:rPr>
            </w:pPr>
            <w:r>
              <w:rPr>
                <w:rFonts w:ascii="Arial" w:cs="Arial" w:eastAsia="Arial" w:hAnsi="Arial"/>
                <w:sz w:val="12"/>
                <w:szCs w:val="12"/>
                <w:b w:val="1"/>
                <w:bCs w:val="1"/>
                <w:color w:val="auto"/>
              </w:rPr>
              <w:t>2013</w:t>
            </w: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18"/>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78"/>
        </w:trPr>
        <w:tc>
          <w:tcPr>
            <w:tcW w:w="8240" w:type="dxa"/>
            <w:vAlign w:val="bottom"/>
          </w:tcPr>
          <w:p>
            <w:pPr>
              <w:spacing w:after="0" w:line="178" w:lineRule="exact"/>
              <w:rPr>
                <w:sz w:val="20"/>
                <w:szCs w:val="20"/>
                <w:color w:val="auto"/>
              </w:rPr>
            </w:pPr>
            <w:r>
              <w:rPr>
                <w:rFonts w:ascii="Arial" w:cs="Arial" w:eastAsia="Arial" w:hAnsi="Arial"/>
                <w:sz w:val="17"/>
                <w:szCs w:val="17"/>
                <w:b w:val="1"/>
                <w:bCs w:val="1"/>
                <w:color w:val="auto"/>
              </w:rPr>
              <w:t>Operating Revenues</w:t>
            </w:r>
          </w:p>
        </w:tc>
        <w:tc>
          <w:tcPr>
            <w:tcW w:w="340" w:type="dxa"/>
            <w:vAlign w:val="bottom"/>
            <w:vMerge w:val="restart"/>
          </w:tcPr>
          <w:p>
            <w:pPr>
              <w:jc w:val="right"/>
              <w:ind w:right="158"/>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527,815</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40"/>
              <w:spacing w:after="0" w:line="166" w:lineRule="exact"/>
              <w:rPr>
                <w:sz w:val="20"/>
                <w:szCs w:val="20"/>
                <w:color w:val="auto"/>
              </w:rPr>
            </w:pPr>
            <w:r>
              <w:rPr>
                <w:rFonts w:ascii="Arial" w:cs="Arial" w:eastAsia="Arial" w:hAnsi="Arial"/>
                <w:sz w:val="17"/>
                <w:szCs w:val="17"/>
                <w:color w:val="auto"/>
              </w:rPr>
              <w:t>Education</w:t>
            </w:r>
          </w:p>
        </w:tc>
        <w:tc>
          <w:tcPr>
            <w:tcW w:w="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jc w:val="right"/>
              <w:ind w:right="378"/>
              <w:spacing w:after="0" w:line="166"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66" w:lineRule="exact"/>
              <w:rPr>
                <w:sz w:val="20"/>
                <w:szCs w:val="20"/>
                <w:color w:val="auto"/>
              </w:rPr>
            </w:pPr>
            <w:r>
              <w:rPr>
                <w:rFonts w:ascii="Arial" w:cs="Arial" w:eastAsia="Arial" w:hAnsi="Arial"/>
                <w:sz w:val="17"/>
                <w:szCs w:val="17"/>
                <w:color w:val="auto"/>
              </w:rPr>
              <w:t>546,685</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Advertising</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163,148</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167,558</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Circulation and Subscriber</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221,709</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213,677</w:t>
            </w:r>
          </w:p>
        </w:tc>
        <w:tc>
          <w:tcPr>
            <w:tcW w:w="0" w:type="dxa"/>
            <w:vAlign w:val="bottom"/>
          </w:tcPr>
          <w:p>
            <w:pPr>
              <w:spacing w:after="0"/>
              <w:rPr>
                <w:sz w:val="1"/>
                <w:szCs w:val="1"/>
                <w:color w:val="auto"/>
              </w:rPr>
            </w:pPr>
          </w:p>
        </w:tc>
      </w:tr>
      <w:tr>
        <w:trPr>
          <w:trHeight w:val="207"/>
        </w:trPr>
        <w:tc>
          <w:tcPr>
            <w:tcW w:w="8240" w:type="dxa"/>
            <w:vAlign w:val="bottom"/>
          </w:tcPr>
          <w:p>
            <w:pPr>
              <w:ind w:left="2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46,433</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27,581</w:t>
            </w:r>
          </w:p>
        </w:tc>
        <w:tc>
          <w:tcPr>
            <w:tcW w:w="0" w:type="dxa"/>
            <w:vAlign w:val="bottom"/>
          </w:tcPr>
          <w:p>
            <w:pPr>
              <w:spacing w:after="0"/>
              <w:rPr>
                <w:sz w:val="1"/>
                <w:szCs w:val="1"/>
                <w:color w:val="auto"/>
              </w:rPr>
            </w:pPr>
          </w:p>
        </w:tc>
      </w:tr>
      <w:tr>
        <w:trPr>
          <w:trHeight w:val="179"/>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Operating Costs and Expenses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959,105</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955,501</w:t>
            </w:r>
          </w:p>
        </w:tc>
        <w:tc>
          <w:tcPr>
            <w:tcW w:w="0" w:type="dxa"/>
            <w:vAlign w:val="bottom"/>
          </w:tcPr>
          <w:p>
            <w:pPr>
              <w:spacing w:after="0"/>
              <w:rPr>
                <w:sz w:val="1"/>
                <w:szCs w:val="1"/>
                <w:color w:val="auto"/>
              </w:rPr>
            </w:pPr>
          </w:p>
        </w:tc>
      </w:tr>
      <w:tr>
        <w:trPr>
          <w:trHeight w:val="178"/>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451,981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240"/>
              <w:spacing w:after="0" w:line="166" w:lineRule="exact"/>
              <w:rPr>
                <w:sz w:val="20"/>
                <w:szCs w:val="20"/>
                <w:color w:val="auto"/>
              </w:rPr>
            </w:pPr>
            <w:r>
              <w:rPr>
                <w:rFonts w:ascii="Arial" w:cs="Arial" w:eastAsia="Arial" w:hAnsi="Arial"/>
                <w:sz w:val="17"/>
                <w:szCs w:val="17"/>
                <w:color w:val="auto"/>
              </w:rPr>
              <w:t>Operating</w:t>
            </w: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7"/>
                <w:szCs w:val="17"/>
                <w:color w:val="auto"/>
              </w:rPr>
              <w:t>460,300</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Selling, general and administrative</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414,556</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408,106</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Depreciation of property, plant and equipment</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65,791</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61,924</w:t>
            </w:r>
          </w:p>
        </w:tc>
        <w:tc>
          <w:tcPr>
            <w:tcW w:w="0" w:type="dxa"/>
            <w:vAlign w:val="bottom"/>
          </w:tcPr>
          <w:p>
            <w:pPr>
              <w:spacing w:after="0"/>
              <w:rPr>
                <w:sz w:val="1"/>
                <w:szCs w:val="1"/>
                <w:color w:val="auto"/>
              </w:rPr>
            </w:pPr>
          </w:p>
        </w:tc>
      </w:tr>
      <w:tr>
        <w:trPr>
          <w:trHeight w:val="207"/>
        </w:trPr>
        <w:tc>
          <w:tcPr>
            <w:tcW w:w="8240" w:type="dxa"/>
            <w:vAlign w:val="bottom"/>
          </w:tcPr>
          <w:p>
            <w:pPr>
              <w:ind w:left="240"/>
              <w:spacing w:after="0"/>
              <w:rPr>
                <w:sz w:val="20"/>
                <w:szCs w:val="20"/>
                <w:color w:val="auto"/>
              </w:rPr>
            </w:pPr>
            <w:r>
              <w:rPr>
                <w:rFonts w:ascii="Arial" w:cs="Arial" w:eastAsia="Arial" w:hAnsi="Arial"/>
                <w:sz w:val="17"/>
                <w:szCs w:val="17"/>
                <w:color w:val="auto"/>
              </w:rPr>
              <w:t>Amortization of intangible assets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3,717</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3,873</w:t>
            </w:r>
          </w:p>
        </w:tc>
        <w:tc>
          <w:tcPr>
            <w:tcW w:w="0" w:type="dxa"/>
            <w:vAlign w:val="bottom"/>
          </w:tcPr>
          <w:p>
            <w:pPr>
              <w:spacing w:after="0"/>
              <w:rPr>
                <w:sz w:val="1"/>
                <w:szCs w:val="1"/>
                <w:color w:val="auto"/>
              </w:rPr>
            </w:pPr>
          </w:p>
        </w:tc>
      </w:tr>
      <w:tr>
        <w:trPr>
          <w:trHeight w:val="179"/>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Income from Operations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936,045</w:t>
            </w: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934,203</w:t>
            </w:r>
          </w:p>
        </w:tc>
        <w:tc>
          <w:tcPr>
            <w:tcW w:w="0" w:type="dxa"/>
            <w:vAlign w:val="bottom"/>
          </w:tcPr>
          <w:p>
            <w:pPr>
              <w:spacing w:after="0"/>
              <w:rPr>
                <w:sz w:val="1"/>
                <w:szCs w:val="1"/>
                <w:color w:val="auto"/>
              </w:rPr>
            </w:pPr>
          </w:p>
        </w:tc>
      </w:tr>
      <w:tr>
        <w:trPr>
          <w:trHeight w:val="158"/>
        </w:trPr>
        <w:tc>
          <w:tcPr>
            <w:tcW w:w="8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23,060</w:t>
            </w:r>
          </w:p>
        </w:tc>
        <w:tc>
          <w:tcPr>
            <w:tcW w:w="66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7"/>
                <w:szCs w:val="17"/>
                <w:color w:val="auto"/>
              </w:rPr>
              <w:t>21,298</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Equity in earnings of affiliates, net</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3,418</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3,888</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6"/>
                <w:szCs w:val="16"/>
                <w:color w:val="auto"/>
              </w:rPr>
            </w:pPr>
          </w:p>
        </w:tc>
        <w:tc>
          <w:tcPr>
            <w:tcW w:w="1260" w:type="dxa"/>
            <w:vAlign w:val="bottom"/>
          </w:tcPr>
          <w:p>
            <w:pPr>
              <w:jc w:val="right"/>
              <w:ind w:right="79"/>
              <w:spacing w:after="0" w:line="186" w:lineRule="exact"/>
              <w:rPr>
                <w:sz w:val="20"/>
                <w:szCs w:val="20"/>
                <w:color w:val="auto"/>
              </w:rPr>
            </w:pPr>
            <w:r>
              <w:rPr>
                <w:rFonts w:ascii="Arial" w:cs="Arial" w:eastAsia="Arial" w:hAnsi="Arial"/>
                <w:sz w:val="17"/>
                <w:szCs w:val="17"/>
                <w:b w:val="1"/>
                <w:bCs w:val="1"/>
                <w:color w:val="auto"/>
              </w:rPr>
              <w:t>510</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186"/>
        </w:trPr>
        <w:tc>
          <w:tcPr>
            <w:tcW w:w="8240" w:type="dxa"/>
            <w:vAlign w:val="bottom"/>
          </w:tcPr>
          <w:p>
            <w:pPr>
              <w:ind w:left="240"/>
              <w:spacing w:after="0" w:line="186" w:lineRule="exact"/>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6"/>
                <w:szCs w:val="16"/>
                <w:color w:val="auto"/>
              </w:rPr>
            </w:pPr>
          </w:p>
        </w:tc>
        <w:tc>
          <w:tcPr>
            <w:tcW w:w="1260" w:type="dxa"/>
            <w:vAlign w:val="bottom"/>
          </w:tcPr>
          <w:p>
            <w:pPr>
              <w:jc w:val="right"/>
              <w:ind w:right="39"/>
              <w:spacing w:after="0" w:line="186" w:lineRule="exact"/>
              <w:rPr>
                <w:sz w:val="20"/>
                <w:szCs w:val="20"/>
                <w:color w:val="auto"/>
              </w:rPr>
            </w:pPr>
            <w:r>
              <w:rPr>
                <w:rFonts w:ascii="Arial" w:cs="Arial" w:eastAsia="Arial" w:hAnsi="Arial"/>
                <w:sz w:val="17"/>
                <w:szCs w:val="17"/>
                <w:b w:val="1"/>
                <w:bCs w:val="1"/>
                <w:color w:val="auto"/>
              </w:rPr>
              <w:t>(8,960)</w:t>
            </w:r>
          </w:p>
        </w:tc>
        <w:tc>
          <w:tcPr>
            <w:tcW w:w="66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(9,163)</w:t>
            </w:r>
          </w:p>
        </w:tc>
        <w:tc>
          <w:tcPr>
            <w:tcW w:w="0" w:type="dxa"/>
            <w:vAlign w:val="bottom"/>
          </w:tcPr>
          <w:p>
            <w:pPr>
              <w:spacing w:after="0"/>
              <w:rPr>
                <w:sz w:val="1"/>
                <w:szCs w:val="1"/>
                <w:color w:val="auto"/>
              </w:rPr>
            </w:pPr>
          </w:p>
        </w:tc>
      </w:tr>
      <w:tr>
        <w:trPr>
          <w:trHeight w:val="207"/>
        </w:trPr>
        <w:tc>
          <w:tcPr>
            <w:tcW w:w="8240" w:type="dxa"/>
            <w:vAlign w:val="bottom"/>
          </w:tcPr>
          <w:p>
            <w:pPr>
              <w:ind w:left="240"/>
              <w:spacing w:after="0"/>
              <w:rPr>
                <w:sz w:val="20"/>
                <w:szCs w:val="20"/>
                <w:color w:val="auto"/>
              </w:rPr>
            </w:pPr>
            <w:r>
              <w:rPr>
                <w:rFonts w:ascii="Arial" w:cs="Arial" w:eastAsia="Arial" w:hAnsi="Arial"/>
                <w:sz w:val="17"/>
                <w:szCs w:val="17"/>
                <w:color w:val="auto"/>
              </w:rPr>
              <w:t>Other (expense) income, net</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(4,083)</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8,588</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Income from Continuing Operations Before Income Taxes</w:t>
            </w:r>
          </w:p>
        </w:tc>
        <w:tc>
          <w:tcPr>
            <w:tcW w:w="340" w:type="dxa"/>
            <w:vAlign w:val="bottom"/>
          </w:tcPr>
          <w:p>
            <w:pPr>
              <w:spacing w:after="0"/>
              <w:rPr>
                <w:sz w:val="13"/>
                <w:szCs w:val="13"/>
                <w:color w:val="auto"/>
              </w:rPr>
            </w:pPr>
          </w:p>
        </w:tc>
        <w:tc>
          <w:tcPr>
            <w:tcW w:w="126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13,945</w:t>
            </w:r>
          </w:p>
        </w:tc>
        <w:tc>
          <w:tcPr>
            <w:tcW w:w="66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7"/>
                <w:szCs w:val="17"/>
                <w:color w:val="auto"/>
              </w:rPr>
              <w:t>25,680</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Provision for Income Taxes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7,300</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11,700</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Income from Continuing Operations</w:t>
            </w:r>
          </w:p>
        </w:tc>
        <w:tc>
          <w:tcPr>
            <w:tcW w:w="340" w:type="dxa"/>
            <w:vAlign w:val="bottom"/>
          </w:tcPr>
          <w:p>
            <w:pPr>
              <w:spacing w:after="0"/>
              <w:rPr>
                <w:sz w:val="13"/>
                <w:szCs w:val="13"/>
                <w:color w:val="auto"/>
              </w:rPr>
            </w:pPr>
          </w:p>
        </w:tc>
        <w:tc>
          <w:tcPr>
            <w:tcW w:w="126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6,645</w:t>
            </w:r>
          </w:p>
        </w:tc>
        <w:tc>
          <w:tcPr>
            <w:tcW w:w="66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7"/>
                <w:szCs w:val="17"/>
                <w:color w:val="auto"/>
              </w:rPr>
              <w:t>13,980</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(Loss) Income from Discontinued Operations, Net of Tax</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(1,386)</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17,588</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Net Income</w:t>
            </w:r>
          </w:p>
        </w:tc>
        <w:tc>
          <w:tcPr>
            <w:tcW w:w="340" w:type="dxa"/>
            <w:vAlign w:val="bottom"/>
          </w:tcPr>
          <w:p>
            <w:pPr>
              <w:spacing w:after="0"/>
              <w:rPr>
                <w:sz w:val="13"/>
                <w:szCs w:val="13"/>
                <w:color w:val="auto"/>
              </w:rPr>
            </w:pPr>
          </w:p>
        </w:tc>
        <w:tc>
          <w:tcPr>
            <w:tcW w:w="126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5,259</w:t>
            </w:r>
          </w:p>
        </w:tc>
        <w:tc>
          <w:tcPr>
            <w:tcW w:w="66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7"/>
                <w:szCs w:val="17"/>
                <w:color w:val="auto"/>
              </w:rPr>
              <w:t>31,568</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Net Income Attributable to Noncontrolling Interests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(97)</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58"/>
        </w:trPr>
        <w:tc>
          <w:tcPr>
            <w:tcW w:w="8240" w:type="dxa"/>
            <w:vAlign w:val="bottom"/>
          </w:tcPr>
          <w:p>
            <w:pPr>
              <w:spacing w:after="0" w:line="158"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340" w:type="dxa"/>
            <w:vAlign w:val="bottom"/>
          </w:tcPr>
          <w:p>
            <w:pPr>
              <w:spacing w:after="0"/>
              <w:rPr>
                <w:sz w:val="13"/>
                <w:szCs w:val="13"/>
                <w:color w:val="auto"/>
              </w:rPr>
            </w:pPr>
          </w:p>
        </w:tc>
        <w:tc>
          <w:tcPr>
            <w:tcW w:w="1260" w:type="dxa"/>
            <w:vAlign w:val="bottom"/>
          </w:tcPr>
          <w:p>
            <w:pPr>
              <w:jc w:val="right"/>
              <w:ind w:right="79"/>
              <w:spacing w:after="0" w:line="158" w:lineRule="exact"/>
              <w:rPr>
                <w:sz w:val="20"/>
                <w:szCs w:val="20"/>
                <w:color w:val="auto"/>
              </w:rPr>
            </w:pPr>
            <w:r>
              <w:rPr>
                <w:rFonts w:ascii="Arial" w:cs="Arial" w:eastAsia="Arial" w:hAnsi="Arial"/>
                <w:sz w:val="17"/>
                <w:szCs w:val="17"/>
                <w:b w:val="1"/>
                <w:bCs w:val="1"/>
                <w:color w:val="auto"/>
              </w:rPr>
              <w:t>5,162</w:t>
            </w:r>
          </w:p>
        </w:tc>
        <w:tc>
          <w:tcPr>
            <w:tcW w:w="66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7"/>
                <w:szCs w:val="17"/>
                <w:color w:val="auto"/>
              </w:rPr>
              <w:t>31,498</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b w:val="1"/>
                <w:bCs w:val="1"/>
                <w:color w:val="auto"/>
              </w:rPr>
              <w:t>Redeemable Preferred Stock Dividends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(444)</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b w:val="1"/>
                <w:bCs w:val="1"/>
                <w:color w:val="auto"/>
              </w:rPr>
              <w:t>Net Income Attributable to The Washington Post Company Common Stockholders</w:t>
            </w:r>
          </w:p>
        </w:tc>
        <w:tc>
          <w:tcPr>
            <w:tcW w:w="340" w:type="dxa"/>
            <w:vAlign w:val="bottom"/>
            <w:tcBorders>
              <w:bottom w:val="single" w:sz="8" w:color="auto"/>
            </w:tcBorders>
          </w:tcPr>
          <w:p>
            <w:pPr>
              <w:jc w:val="right"/>
              <w:ind w:right="158"/>
              <w:spacing w:after="0" w:line="179" w:lineRule="exact"/>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4,718</w:t>
            </w:r>
          </w:p>
        </w:tc>
        <w:tc>
          <w:tcPr>
            <w:tcW w:w="660" w:type="dxa"/>
            <w:vAlign w:val="bottom"/>
            <w:tcBorders>
              <w:bottom w:val="single" w:sz="8" w:color="auto"/>
            </w:tcBorders>
          </w:tcPr>
          <w:p>
            <w:pPr>
              <w:jc w:val="right"/>
              <w:ind w:right="378"/>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31,047</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7"/>
                <w:szCs w:val="17"/>
                <w:b w:val="1"/>
                <w:bCs w:val="1"/>
                <w:color w:val="auto"/>
              </w:rPr>
              <w:t>Amounts Attributable to The Washington Post Company Common Stockholders</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340" w:type="dxa"/>
            <w:vAlign w:val="bottom"/>
            <w:vMerge w:val="restart"/>
          </w:tcPr>
          <w:p>
            <w:pPr>
              <w:jc w:val="right"/>
              <w:ind w:right="158"/>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6,104</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7"/>
                <w:szCs w:val="17"/>
                <w:color w:val="auto"/>
              </w:rPr>
              <w:t>Income from continuing operations</w:t>
            </w:r>
          </w:p>
        </w:tc>
        <w:tc>
          <w:tcPr>
            <w:tcW w:w="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jc w:val="right"/>
              <w:ind w:right="378"/>
              <w:spacing w:after="0" w:line="166"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66" w:lineRule="exact"/>
              <w:rPr>
                <w:sz w:val="20"/>
                <w:szCs w:val="20"/>
                <w:color w:val="auto"/>
              </w:rPr>
            </w:pPr>
            <w:r>
              <w:rPr>
                <w:rFonts w:ascii="Arial" w:cs="Arial" w:eastAsia="Arial" w:hAnsi="Arial"/>
                <w:sz w:val="17"/>
                <w:szCs w:val="17"/>
                <w:color w:val="auto"/>
              </w:rPr>
              <w:t>13,459</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(Loss) income from discontinued operations, net of tax</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(1,386)</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17,588</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Net income attributable to The Washington Post Company common stockholders</w:t>
            </w:r>
          </w:p>
        </w:tc>
        <w:tc>
          <w:tcPr>
            <w:tcW w:w="340" w:type="dxa"/>
            <w:vAlign w:val="bottom"/>
            <w:tcBorders>
              <w:bottom w:val="single" w:sz="8" w:color="auto"/>
            </w:tcBorders>
          </w:tcPr>
          <w:p>
            <w:pPr>
              <w:jc w:val="right"/>
              <w:ind w:right="158"/>
              <w:spacing w:after="0" w:line="179" w:lineRule="exact"/>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4,718</w:t>
            </w:r>
          </w:p>
        </w:tc>
        <w:tc>
          <w:tcPr>
            <w:tcW w:w="660" w:type="dxa"/>
            <w:vAlign w:val="bottom"/>
            <w:tcBorders>
              <w:bottom w:val="single" w:sz="8" w:color="auto"/>
            </w:tcBorders>
          </w:tcPr>
          <w:p>
            <w:pPr>
              <w:jc w:val="right"/>
              <w:ind w:right="378"/>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31,047</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line="183" w:lineRule="exact"/>
              <w:rPr>
                <w:sz w:val="20"/>
                <w:szCs w:val="20"/>
                <w:color w:val="auto"/>
              </w:rPr>
            </w:pPr>
            <w:r>
              <w:rPr>
                <w:rFonts w:ascii="Arial" w:cs="Arial" w:eastAsia="Arial" w:hAnsi="Arial"/>
                <w:sz w:val="17"/>
                <w:szCs w:val="17"/>
                <w:b w:val="1"/>
                <w:bCs w:val="1"/>
                <w:color w:val="auto"/>
              </w:rPr>
              <w:t>Per Share Information Attributable to The Washington Post Company</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40"/>
              <w:spacing w:after="0"/>
              <w:rPr>
                <w:sz w:val="20"/>
                <w:szCs w:val="20"/>
                <w:color w:val="auto"/>
              </w:rPr>
            </w:pPr>
            <w:r>
              <w:rPr>
                <w:rFonts w:ascii="Arial" w:cs="Arial" w:eastAsia="Arial" w:hAnsi="Arial"/>
                <w:sz w:val="17"/>
                <w:szCs w:val="17"/>
                <w:b w:val="1"/>
                <w:bCs w:val="1"/>
                <w:color w:val="auto"/>
              </w:rPr>
              <w:t>Common Stockholders</w:t>
            </w:r>
          </w:p>
        </w:tc>
        <w:tc>
          <w:tcPr>
            <w:tcW w:w="340" w:type="dxa"/>
            <w:vAlign w:val="bottom"/>
            <w:vMerge w:val="restart"/>
          </w:tcPr>
          <w:p>
            <w:pPr>
              <w:jc w:val="right"/>
              <w:ind w:right="158"/>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tcPr>
          <w:p>
            <w:pPr>
              <w:jc w:val="right"/>
              <w:ind w:right="79"/>
              <w:spacing w:after="0"/>
              <w:rPr>
                <w:sz w:val="20"/>
                <w:szCs w:val="20"/>
                <w:color w:val="auto"/>
              </w:rPr>
            </w:pPr>
            <w:r>
              <w:rPr>
                <w:rFonts w:ascii="Arial" w:cs="Arial" w:eastAsia="Arial" w:hAnsi="Arial"/>
                <w:sz w:val="17"/>
                <w:szCs w:val="17"/>
                <w:b w:val="1"/>
                <w:bCs w:val="1"/>
                <w:color w:val="auto"/>
              </w:rPr>
              <w:t>0.82</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7"/>
                <w:szCs w:val="17"/>
                <w:color w:val="auto"/>
              </w:rPr>
              <w:t>Basic income per common share from continuing operations</w:t>
            </w:r>
          </w:p>
        </w:tc>
        <w:tc>
          <w:tcPr>
            <w:tcW w:w="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60" w:type="dxa"/>
            <w:vAlign w:val="bottom"/>
          </w:tcPr>
          <w:p>
            <w:pPr>
              <w:jc w:val="right"/>
              <w:ind w:right="378"/>
              <w:spacing w:after="0" w:line="166"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66"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Basic (loss) income per common share from discontinued operations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(0.18)</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Basic net income per common share</w:t>
            </w:r>
          </w:p>
        </w:tc>
        <w:tc>
          <w:tcPr>
            <w:tcW w:w="340" w:type="dxa"/>
            <w:vAlign w:val="bottom"/>
            <w:tcBorders>
              <w:bottom w:val="single" w:sz="8" w:color="auto"/>
            </w:tcBorders>
          </w:tcPr>
          <w:p>
            <w:pPr>
              <w:jc w:val="right"/>
              <w:ind w:right="158"/>
              <w:spacing w:after="0" w:line="179" w:lineRule="exact"/>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0.64</w:t>
            </w:r>
          </w:p>
        </w:tc>
        <w:tc>
          <w:tcPr>
            <w:tcW w:w="660" w:type="dxa"/>
            <w:vAlign w:val="bottom"/>
            <w:tcBorders>
              <w:bottom w:val="single" w:sz="8" w:color="auto"/>
            </w:tcBorders>
          </w:tcPr>
          <w:p>
            <w:pPr>
              <w:jc w:val="right"/>
              <w:ind w:right="378"/>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9"/>
              <w:spacing w:after="0" w:line="163" w:lineRule="exact"/>
              <w:rPr>
                <w:sz w:val="20"/>
                <w:szCs w:val="20"/>
                <w:color w:val="auto"/>
              </w:rPr>
            </w:pPr>
            <w:r>
              <w:rPr>
                <w:rFonts w:ascii="Arial" w:cs="Arial" w:eastAsia="Arial" w:hAnsi="Arial"/>
                <w:sz w:val="17"/>
                <w:szCs w:val="17"/>
                <w:b w:val="1"/>
                <w:bCs w:val="1"/>
                <w:color w:val="auto"/>
              </w:rPr>
              <w:t>7,227</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7,514</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line="183" w:lineRule="exact"/>
              <w:rPr>
                <w:sz w:val="20"/>
                <w:szCs w:val="20"/>
                <w:color w:val="auto"/>
              </w:rPr>
            </w:pPr>
            <w:r>
              <w:rPr>
                <w:rFonts w:ascii="Arial" w:cs="Arial" w:eastAsia="Arial" w:hAnsi="Arial"/>
                <w:sz w:val="17"/>
                <w:szCs w:val="17"/>
                <w:color w:val="auto"/>
              </w:rPr>
              <w:t>Diluted income per common share from continuing operations</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vMerge w:val="continue"/>
          </w:tcPr>
          <w:p>
            <w:pPr>
              <w:spacing w:after="0"/>
              <w:rPr>
                <w:sz w:val="12"/>
                <w:szCs w:val="12"/>
                <w:color w:val="auto"/>
              </w:rPr>
            </w:pPr>
          </w:p>
        </w:tc>
        <w:tc>
          <w:tcPr>
            <w:tcW w:w="340" w:type="dxa"/>
            <w:vAlign w:val="bottom"/>
          </w:tcPr>
          <w:p>
            <w:pPr>
              <w:jc w:val="right"/>
              <w:ind w:right="158"/>
              <w:spacing w:after="0" w:line="142" w:lineRule="exact"/>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rPr>
              <w:t>0.82</w:t>
            </w:r>
          </w:p>
        </w:tc>
        <w:tc>
          <w:tcPr>
            <w:tcW w:w="660" w:type="dxa"/>
            <w:vAlign w:val="bottom"/>
          </w:tcPr>
          <w:p>
            <w:pPr>
              <w:jc w:val="right"/>
              <w:ind w:right="378"/>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42" w:lineRule="exact"/>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20"/>
                <w:szCs w:val="20"/>
                <w:color w:val="auto"/>
              </w:rPr>
            </w:pPr>
            <w:r>
              <w:rPr>
                <w:rFonts w:ascii="Arial" w:cs="Arial" w:eastAsia="Arial" w:hAnsi="Arial"/>
                <w:sz w:val="17"/>
                <w:szCs w:val="17"/>
                <w:color w:val="auto"/>
              </w:rPr>
              <w:t>Diluted (loss) income per common share from discontinued operations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(0.18)</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79"/>
        </w:trPr>
        <w:tc>
          <w:tcPr>
            <w:tcW w:w="8240" w:type="dxa"/>
            <w:vAlign w:val="bottom"/>
          </w:tcPr>
          <w:p>
            <w:pPr>
              <w:spacing w:after="0" w:line="179" w:lineRule="exact"/>
              <w:rPr>
                <w:sz w:val="20"/>
                <w:szCs w:val="20"/>
                <w:color w:val="auto"/>
              </w:rPr>
            </w:pPr>
            <w:r>
              <w:rPr>
                <w:rFonts w:ascii="Arial" w:cs="Arial" w:eastAsia="Arial" w:hAnsi="Arial"/>
                <w:sz w:val="17"/>
                <w:szCs w:val="17"/>
                <w:color w:val="auto"/>
              </w:rPr>
              <w:t>Diluted net income per common share</w:t>
            </w:r>
          </w:p>
        </w:tc>
        <w:tc>
          <w:tcPr>
            <w:tcW w:w="340" w:type="dxa"/>
            <w:vAlign w:val="bottom"/>
            <w:tcBorders>
              <w:bottom w:val="single" w:sz="8" w:color="auto"/>
            </w:tcBorders>
          </w:tcPr>
          <w:p>
            <w:pPr>
              <w:jc w:val="right"/>
              <w:ind w:right="158"/>
              <w:spacing w:after="0" w:line="179" w:lineRule="exact"/>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ind w:right="79"/>
              <w:spacing w:after="0" w:line="179" w:lineRule="exact"/>
              <w:rPr>
                <w:sz w:val="20"/>
                <w:szCs w:val="20"/>
                <w:color w:val="auto"/>
              </w:rPr>
            </w:pPr>
            <w:r>
              <w:rPr>
                <w:rFonts w:ascii="Arial" w:cs="Arial" w:eastAsia="Arial" w:hAnsi="Arial"/>
                <w:sz w:val="17"/>
                <w:szCs w:val="17"/>
                <w:b w:val="1"/>
                <w:bCs w:val="1"/>
                <w:color w:val="auto"/>
              </w:rPr>
              <w:t>0.64</w:t>
            </w:r>
          </w:p>
        </w:tc>
        <w:tc>
          <w:tcPr>
            <w:tcW w:w="660" w:type="dxa"/>
            <w:vAlign w:val="bottom"/>
            <w:tcBorders>
              <w:bottom w:val="single" w:sz="8" w:color="auto"/>
            </w:tcBorders>
          </w:tcPr>
          <w:p>
            <w:pPr>
              <w:jc w:val="right"/>
              <w:ind w:right="378"/>
              <w:spacing w:after="0" w:line="17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tcPr>
          <w:p>
            <w:pPr>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9"/>
              <w:spacing w:after="0" w:line="163" w:lineRule="exact"/>
              <w:rPr>
                <w:sz w:val="20"/>
                <w:szCs w:val="20"/>
                <w:color w:val="auto"/>
              </w:rPr>
            </w:pPr>
            <w:r>
              <w:rPr>
                <w:rFonts w:ascii="Arial" w:cs="Arial" w:eastAsia="Arial" w:hAnsi="Arial"/>
                <w:sz w:val="17"/>
                <w:szCs w:val="17"/>
                <w:b w:val="1"/>
                <w:bCs w:val="1"/>
                <w:color w:val="auto"/>
              </w:rPr>
              <w:t>7,266</w:t>
            </w: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7,615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38" w:lineRule="exact"/>
        <w:rPr>
          <w:sz w:val="20"/>
          <w:szCs w:val="20"/>
          <w:color w:val="auto"/>
        </w:rPr>
      </w:pPr>
    </w:p>
    <w:p>
      <w:pPr>
        <w:jc w:val="center"/>
        <w:ind w:left="9180"/>
        <w:spacing w:after="0"/>
        <w:rPr>
          <w:sz w:val="20"/>
          <w:szCs w:val="20"/>
          <w:color w:val="auto"/>
        </w:rPr>
      </w:pPr>
      <w:r>
        <w:rPr>
          <w:rFonts w:ascii="Arial" w:cs="Arial" w:eastAsia="Arial" w:hAnsi="Arial"/>
          <w:sz w:val="12"/>
          <w:szCs w:val="12"/>
          <w:b w:val="1"/>
          <w:bCs w:val="1"/>
          <w:color w:val="auto"/>
        </w:rPr>
        <w:t>Three Months Ended</w:t>
      </w:r>
    </w:p>
    <w:p>
      <w:pPr>
        <w:spacing w:after="0" w:line="12" w:lineRule="exact"/>
        <w:rPr>
          <w:sz w:val="20"/>
          <w:szCs w:val="20"/>
          <w:color w:val="auto"/>
        </w:rPr>
      </w:pPr>
    </w:p>
    <w:p>
      <w:pPr>
        <w:jc w:val="center"/>
        <w:ind w:left="9180"/>
        <w:spacing w:after="0"/>
        <w:rPr>
          <w:sz w:val="20"/>
          <w:szCs w:val="20"/>
          <w:color w:val="auto"/>
        </w:rPr>
      </w:pPr>
      <w:r>
        <w:rPr>
          <w:rFonts w:ascii="Arial" w:cs="Arial" w:eastAsia="Arial" w:hAnsi="Arial"/>
          <w:sz w:val="12"/>
          <w:szCs w:val="12"/>
          <w:b w:val="1"/>
          <w:bCs w:val="1"/>
          <w:color w:val="auto"/>
        </w:rPr>
        <w:t>March 31,</w:t>
      </w:r>
    </w:p>
    <w:tbl>
      <w:tblPr>
        <w:tblLayout w:type="fixed"/>
        <w:tblInd w:w="0" w:type="dxa"/>
        <w:tblCellMar>
          <w:top w:w="0" w:type="dxa"/>
          <w:left w:w="0" w:type="dxa"/>
          <w:bottom w:w="0" w:type="dxa"/>
          <w:right w:w="0" w:type="dxa"/>
        </w:tblCellMar>
      </w:tblPr>
      <w:tr>
        <w:trPr>
          <w:trHeight w:val="141"/>
        </w:trPr>
        <w:tc>
          <w:tcPr>
            <w:tcW w:w="9180" w:type="dxa"/>
            <w:vAlign w:val="bottom"/>
          </w:tcPr>
          <w:p>
            <w:pPr>
              <w:spacing w:after="0"/>
              <w:rPr>
                <w:sz w:val="20"/>
                <w:szCs w:val="20"/>
                <w:color w:val="auto"/>
              </w:rPr>
            </w:pPr>
            <w:r>
              <w:rPr>
                <w:rFonts w:ascii="Arial" w:cs="Arial" w:eastAsia="Arial" w:hAnsi="Arial"/>
                <w:sz w:val="12"/>
                <w:szCs w:val="12"/>
                <w:color w:val="auto"/>
              </w:rPr>
              <w:t>(in thousands)</w:t>
            </w:r>
          </w:p>
        </w:tc>
        <w:tc>
          <w:tcPr>
            <w:tcW w:w="1100" w:type="dxa"/>
            <w:vAlign w:val="bottom"/>
            <w:tcBorders>
              <w:top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2013</w:t>
            </w:r>
          </w:p>
        </w:tc>
        <w:tc>
          <w:tcPr>
            <w:tcW w:w="1140" w:type="dxa"/>
            <w:vAlign w:val="bottom"/>
            <w:tcBorders>
              <w:top w:val="single" w:sz="8" w:color="auto"/>
            </w:tcBorders>
          </w:tcPr>
          <w:p>
            <w:pPr>
              <w:jc w:val="right"/>
              <w:ind w:right="378"/>
              <w:spacing w:after="0"/>
              <w:rPr>
                <w:sz w:val="20"/>
                <w:szCs w:val="20"/>
                <w:color w:val="auto"/>
              </w:rPr>
            </w:pPr>
            <w:r>
              <w:rPr>
                <w:rFonts w:ascii="Arial" w:cs="Arial" w:eastAsia="Arial" w:hAnsi="Arial"/>
                <w:sz w:val="12"/>
                <w:szCs w:val="12"/>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74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p>
      <w:pPr>
        <w:spacing w:after="0" w:line="228" w:lineRule="auto"/>
        <w:rPr>
          <w:sz w:val="20"/>
          <w:szCs w:val="20"/>
          <w:color w:val="auto"/>
        </w:rPr>
      </w:pPr>
      <w:r>
        <w:rPr>
          <w:rFonts w:ascii="Arial" w:cs="Arial" w:eastAsia="Arial" w:hAnsi="Arial"/>
          <w:sz w:val="17"/>
          <w:szCs w:val="17"/>
          <w:b w:val="1"/>
          <w:bCs w:val="1"/>
          <w:color w:val="auto"/>
        </w:rPr>
        <w:t>Net Income</w:t>
      </w:r>
    </w:p>
    <w:p>
      <w:pPr>
        <w:spacing w:after="0" w:line="229" w:lineRule="auto"/>
        <w:rPr>
          <w:sz w:val="20"/>
          <w:szCs w:val="20"/>
          <w:color w:val="auto"/>
        </w:rPr>
      </w:pPr>
      <w:r>
        <w:rPr>
          <w:rFonts w:ascii="Arial" w:cs="Arial" w:eastAsia="Arial" w:hAnsi="Arial"/>
          <w:sz w:val="17"/>
          <w:szCs w:val="17"/>
          <w:b w:val="1"/>
          <w:bCs w:val="1"/>
          <w:color w:val="auto"/>
        </w:rPr>
        <w:t>Other Comprehensive Income (Loss), Before Tax</w:t>
      </w:r>
    </w:p>
    <w:p>
      <w:pPr>
        <w:ind w:left="240"/>
        <w:spacing w:after="0" w:line="228" w:lineRule="auto"/>
        <w:rPr>
          <w:sz w:val="20"/>
          <w:szCs w:val="20"/>
          <w:color w:val="auto"/>
        </w:rPr>
      </w:pPr>
      <w:r>
        <w:rPr>
          <w:rFonts w:ascii="Arial" w:cs="Arial" w:eastAsia="Arial" w:hAnsi="Arial"/>
          <w:sz w:val="17"/>
          <w:szCs w:val="17"/>
          <w:color w:val="auto"/>
        </w:rPr>
        <w:t>Foreign currency translation adjustments:</w:t>
      </w:r>
    </w:p>
    <w:p>
      <w:pPr>
        <w:ind w:left="480"/>
        <w:spacing w:after="0" w:line="229" w:lineRule="auto"/>
        <w:rPr>
          <w:sz w:val="20"/>
          <w:szCs w:val="20"/>
          <w:color w:val="auto"/>
        </w:rPr>
      </w:pPr>
      <w:r>
        <w:rPr>
          <w:rFonts w:ascii="Arial" w:cs="Arial" w:eastAsia="Arial" w:hAnsi="Arial"/>
          <w:sz w:val="17"/>
          <w:szCs w:val="17"/>
          <w:color w:val="auto"/>
        </w:rPr>
        <w:t>Translation adjustments arising during the period</w:t>
      </w:r>
    </w:p>
    <w:p>
      <w:pPr>
        <w:ind w:left="480"/>
        <w:spacing w:after="0"/>
        <w:rPr>
          <w:sz w:val="20"/>
          <w:szCs w:val="20"/>
          <w:color w:val="auto"/>
        </w:rPr>
      </w:pPr>
      <w:r>
        <w:rPr>
          <w:rFonts w:ascii="Arial" w:cs="Arial" w:eastAsia="Arial" w:hAnsi="Arial"/>
          <w:sz w:val="17"/>
          <w:szCs w:val="17"/>
          <w:color w:val="auto"/>
        </w:rPr>
        <w:t>Adjustment for sale of a business with foreign operations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Unrealized gains on available-for-sale securities:</w:t>
      </w:r>
    </w:p>
    <w:p>
      <w:pPr>
        <w:ind w:left="480"/>
        <w:spacing w:after="0" w:line="228" w:lineRule="auto"/>
        <w:rPr>
          <w:sz w:val="20"/>
          <w:szCs w:val="20"/>
          <w:color w:val="auto"/>
        </w:rPr>
      </w:pPr>
      <w:r>
        <w:rPr>
          <w:rFonts w:ascii="Arial" w:cs="Arial" w:eastAsia="Arial" w:hAnsi="Arial"/>
          <w:sz w:val="17"/>
          <w:szCs w:val="17"/>
          <w:color w:val="auto"/>
        </w:rPr>
        <w:t>Unrealized gains for the period</w:t>
      </w:r>
    </w:p>
    <w:p>
      <w:pPr>
        <w:ind w:left="480"/>
        <w:spacing w:after="0"/>
        <w:rPr>
          <w:sz w:val="20"/>
          <w:szCs w:val="20"/>
          <w:color w:val="auto"/>
        </w:rPr>
      </w:pPr>
      <w:r>
        <w:rPr>
          <w:rFonts w:ascii="Arial" w:cs="Arial" w:eastAsia="Arial" w:hAnsi="Arial"/>
          <w:sz w:val="16"/>
          <w:szCs w:val="16"/>
          <w:color w:val="auto"/>
        </w:rPr>
        <w:t>Reclassification adjustment for gain on available-for-sale security included in net income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Pension and other postretirement plans:</w:t>
      </w:r>
    </w:p>
    <w:p>
      <w:pPr>
        <w:ind w:left="480"/>
        <w:spacing w:after="0" w:line="228" w:lineRule="auto"/>
        <w:rPr>
          <w:sz w:val="20"/>
          <w:szCs w:val="20"/>
          <w:color w:val="auto"/>
        </w:rPr>
      </w:pPr>
      <w:r>
        <w:rPr>
          <w:rFonts w:ascii="Arial" w:cs="Arial" w:eastAsia="Arial" w:hAnsi="Arial"/>
          <w:sz w:val="17"/>
          <w:szCs w:val="17"/>
          <w:color w:val="auto"/>
        </w:rPr>
        <w:t>Amortization of net prior service credit included in net income</w:t>
      </w:r>
    </w:p>
    <w:p>
      <w:pPr>
        <w:ind w:left="480"/>
        <w:spacing w:after="0" w:line="229" w:lineRule="auto"/>
        <w:rPr>
          <w:sz w:val="20"/>
          <w:szCs w:val="20"/>
          <w:color w:val="auto"/>
        </w:rPr>
      </w:pPr>
      <w:r>
        <w:rPr>
          <w:rFonts w:ascii="Arial" w:cs="Arial" w:eastAsia="Arial" w:hAnsi="Arial"/>
          <w:sz w:val="17"/>
          <w:szCs w:val="17"/>
          <w:color w:val="auto"/>
        </w:rPr>
        <w:t>Amortization of net actuarial loss included in net income</w:t>
      </w:r>
    </w:p>
    <w:p>
      <w:pPr>
        <w:ind w:left="480"/>
        <w:spacing w:after="0"/>
        <w:rPr>
          <w:sz w:val="20"/>
          <w:szCs w:val="20"/>
          <w:color w:val="auto"/>
        </w:rPr>
      </w:pPr>
      <w:r>
        <w:rPr>
          <w:rFonts w:ascii="Arial" w:cs="Arial" w:eastAsia="Arial" w:hAnsi="Arial"/>
          <w:sz w:val="17"/>
          <w:szCs w:val="17"/>
          <w:color w:val="auto"/>
        </w:rPr>
        <w:t>Settlement gain included in net income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flow hedge gain (loss)</w:t>
      </w:r>
    </w:p>
    <w:p>
      <w:pPr>
        <w:spacing w:after="0" w:line="232" w:lineRule="auto"/>
        <w:rPr>
          <w:sz w:val="20"/>
          <w:szCs w:val="20"/>
          <w:color w:val="auto"/>
        </w:rPr>
      </w:pPr>
      <w:r>
        <w:rPr>
          <w:rFonts w:ascii="Arial" w:cs="Arial" w:eastAsia="Arial" w:hAnsi="Arial"/>
          <w:sz w:val="17"/>
          <w:szCs w:val="17"/>
          <w:b w:val="1"/>
          <w:bCs w:val="1"/>
          <w:color w:val="auto"/>
        </w:rPr>
        <w:t>Other Comprehensive Income, Before Tax</w:t>
      </w:r>
    </w:p>
    <w:p>
      <w:pPr>
        <w:ind w:left="240"/>
        <w:spacing w:after="0"/>
        <w:rPr>
          <w:sz w:val="20"/>
          <w:szCs w:val="20"/>
          <w:color w:val="auto"/>
        </w:rPr>
      </w:pPr>
      <w:r>
        <w:rPr>
          <w:rFonts w:ascii="Arial" w:cs="Arial" w:eastAsia="Arial" w:hAnsi="Arial"/>
          <w:sz w:val="17"/>
          <w:szCs w:val="17"/>
          <w:color w:val="auto"/>
        </w:rPr>
        <w:t>Income tax expense related to items of other comprehensive income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Comprehensive Income, Net of Tax</w:t>
      </w:r>
    </w:p>
    <w:p>
      <w:pPr>
        <w:spacing w:after="0" w:line="233" w:lineRule="auto"/>
        <w:rPr>
          <w:sz w:val="20"/>
          <w:szCs w:val="20"/>
          <w:color w:val="auto"/>
        </w:rPr>
      </w:pPr>
      <w:r>
        <w:rPr>
          <w:rFonts w:ascii="Arial" w:cs="Arial" w:eastAsia="Arial" w:hAnsi="Arial"/>
          <w:sz w:val="17"/>
          <w:szCs w:val="17"/>
          <w:b w:val="1"/>
          <w:bCs w:val="1"/>
          <w:color w:val="auto"/>
        </w:rPr>
        <w:t>Comprehensive Income</w:t>
      </w:r>
    </w:p>
    <w:p>
      <w:pPr>
        <w:ind w:left="240"/>
        <w:spacing w:after="0"/>
        <w:rPr>
          <w:sz w:val="20"/>
          <w:szCs w:val="20"/>
          <w:color w:val="auto"/>
        </w:rPr>
      </w:pPr>
      <w:r>
        <w:rPr>
          <w:rFonts w:ascii="Arial" w:cs="Arial" w:eastAsia="Arial" w:hAnsi="Arial"/>
          <w:sz w:val="17"/>
          <w:szCs w:val="17"/>
          <w:color w:val="auto"/>
        </w:rPr>
        <w:t>Comprehensive income attributable to noncontrolling interests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Comprehensive Income Attributable to The Washington Post Company</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97"/>
              <w:spacing w:after="0"/>
              <w:rPr>
                <w:sz w:val="20"/>
                <w:szCs w:val="20"/>
                <w:color w:val="auto"/>
              </w:rPr>
            </w:pPr>
            <w:r>
              <w:rPr>
                <w:rFonts w:ascii="Arial" w:cs="Arial" w:eastAsia="Arial" w:hAnsi="Arial"/>
                <w:sz w:val="17"/>
                <w:szCs w:val="17"/>
                <w:b w:val="1"/>
                <w:bCs w:val="1"/>
                <w:color w:val="auto"/>
              </w:rPr>
              <w:t>5,259</w:t>
            </w:r>
          </w:p>
        </w:tc>
        <w:tc>
          <w:tcPr>
            <w:tcW w:w="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17"/>
              <w:spacing w:after="0"/>
              <w:rPr>
                <w:sz w:val="20"/>
                <w:szCs w:val="20"/>
                <w:color w:val="auto"/>
              </w:rPr>
            </w:pPr>
            <w:r>
              <w:rPr>
                <w:rFonts w:ascii="Arial" w:cs="Arial" w:eastAsia="Arial" w:hAnsi="Arial"/>
                <w:sz w:val="17"/>
                <w:szCs w:val="17"/>
                <w:color w:val="auto"/>
              </w:rPr>
              <w:t>31,568</w:t>
            </w:r>
          </w:p>
        </w:tc>
      </w:tr>
      <w:tr>
        <w:trPr>
          <w:trHeight w:val="507"/>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(4,191)</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7,823</w:t>
            </w:r>
          </w:p>
        </w:tc>
      </w:tr>
      <w:tr>
        <w:trPr>
          <w:trHeight w:val="207"/>
        </w:trPr>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r>
      <w:tr>
        <w:trPr>
          <w:trHeight w:val="179"/>
        </w:trPr>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(4,191)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8,336</w:t>
            </w:r>
          </w:p>
        </w:tc>
      </w:tr>
      <w:tr>
        <w:trPr>
          <w:trHeight w:val="344"/>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49,078</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32,315</w:t>
            </w:r>
          </w:p>
        </w:tc>
      </w:tr>
      <w:tr>
        <w:trPr>
          <w:trHeight w:val="207"/>
        </w:trPr>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79"/>
        </w:trPr>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48,527</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32,315</w:t>
            </w:r>
          </w:p>
        </w:tc>
      </w:tr>
      <w:tr>
        <w:trPr>
          <w:trHeight w:val="344"/>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(437)</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(451)</w:t>
            </w:r>
          </w:p>
        </w:tc>
      </w:tr>
      <w:tr>
        <w:trPr>
          <w:trHeight w:val="186"/>
        </w:trPr>
        <w:tc>
          <w:tcPr>
            <w:tcW w:w="34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b w:val="1"/>
                <w:bCs w:val="1"/>
                <w:color w:val="auto"/>
              </w:rPr>
              <w:t>2,317</w:t>
            </w:r>
          </w:p>
        </w:tc>
        <w:tc>
          <w:tcPr>
            <w:tcW w:w="28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1,657</w:t>
            </w:r>
          </w:p>
        </w:tc>
      </w:tr>
      <w:tr>
        <w:trPr>
          <w:trHeight w:val="207"/>
        </w:trPr>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79"/>
        </w:trPr>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(1,591)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1,206</w:t>
            </w:r>
          </w:p>
        </w:tc>
      </w:tr>
      <w:tr>
        <w:trPr>
          <w:trHeight w:val="179"/>
        </w:trPr>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30</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(35)</w:t>
            </w:r>
          </w:p>
        </w:tc>
      </w:tr>
      <w:tr>
        <w:trPr>
          <w:trHeight w:val="158"/>
        </w:trPr>
        <w:tc>
          <w:tcPr>
            <w:tcW w:w="34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7"/>
                <w:szCs w:val="17"/>
                <w:b w:val="1"/>
                <w:bCs w:val="1"/>
                <w:color w:val="auto"/>
              </w:rPr>
              <w:t>42,775</w:t>
            </w:r>
          </w:p>
        </w:tc>
        <w:tc>
          <w:tcPr>
            <w:tcW w:w="28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7"/>
                <w:szCs w:val="17"/>
                <w:color w:val="auto"/>
              </w:rPr>
              <w:t>41,822</w:t>
            </w:r>
          </w:p>
        </w:tc>
      </w:tr>
      <w:tr>
        <w:trPr>
          <w:trHeight w:val="207"/>
        </w:trPr>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(18,787)</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(13,393)</w:t>
            </w:r>
          </w:p>
        </w:tc>
      </w:tr>
      <w:tr>
        <w:trPr>
          <w:trHeight w:val="179"/>
        </w:trPr>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23,988</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28,429</w:t>
            </w:r>
          </w:p>
        </w:tc>
      </w:tr>
      <w:tr>
        <w:trPr>
          <w:trHeight w:val="158"/>
        </w:trPr>
        <w:tc>
          <w:tcPr>
            <w:tcW w:w="34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7"/>
                <w:szCs w:val="17"/>
                <w:b w:val="1"/>
                <w:bCs w:val="1"/>
                <w:color w:val="auto"/>
              </w:rPr>
              <w:t>29,247</w:t>
            </w:r>
          </w:p>
        </w:tc>
        <w:tc>
          <w:tcPr>
            <w:tcW w:w="28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7"/>
                <w:szCs w:val="17"/>
                <w:color w:val="auto"/>
              </w:rPr>
              <w:t>59,997</w:t>
            </w:r>
          </w:p>
        </w:tc>
      </w:tr>
      <w:tr>
        <w:trPr>
          <w:trHeight w:val="207"/>
        </w:trPr>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r>
      <w:tr>
        <w:trPr>
          <w:trHeight w:val="179"/>
        </w:trPr>
        <w:tc>
          <w:tcPr>
            <w:tcW w:w="34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29,129</w:t>
            </w:r>
          </w:p>
        </w:tc>
        <w:tc>
          <w:tcPr>
            <w:tcW w:w="280" w:type="dxa"/>
            <w:vAlign w:val="bottom"/>
            <w:tcBorders>
              <w:bottom w:val="single" w:sz="8" w:color="auto"/>
            </w:tcBorders>
          </w:tcPr>
          <w:p>
            <w:pPr>
              <w:jc w:val="right"/>
              <w:ind w:right="17"/>
              <w:spacing w:after="0" w:line="17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59,907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95" w:lineRule="exact"/>
        <w:rPr>
          <w:sz w:val="20"/>
          <w:szCs w:val="20"/>
          <w:color w:val="auto"/>
        </w:rPr>
      </w:pPr>
    </w:p>
    <w:p>
      <w:pPr>
        <w:sectPr>
          <w:pgSz w:w="11900" w:h="16838" w:orient="portrait"/>
          <w:cols w:equalWidth="0" w:num="2">
            <w:col w:w="8460" w:space="720"/>
            <w:col w:w="2240"/>
          </w:cols>
          <w:pgMar w:left="240" w:top="789"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319"/>
              <w:spacing w:after="0"/>
              <w:rPr>
                <w:sz w:val="20"/>
                <w:szCs w:val="20"/>
                <w:color w:val="auto"/>
              </w:rPr>
            </w:pPr>
            <w:r>
              <w:rPr>
                <w:rFonts w:ascii="Arial" w:cs="Arial" w:eastAsia="Arial" w:hAnsi="Arial"/>
                <w:sz w:val="12"/>
                <w:szCs w:val="12"/>
                <w:b w:val="1"/>
                <w:bCs w:val="1"/>
                <w:color w:val="auto"/>
              </w:rPr>
              <w:t>March 31,</w:t>
            </w:r>
          </w:p>
        </w:tc>
        <w:tc>
          <w:tcPr>
            <w:tcW w:w="360" w:type="dxa"/>
            <w:vAlign w:val="bottom"/>
          </w:tcPr>
          <w:p>
            <w:pPr>
              <w:spacing w:after="0"/>
              <w:rPr>
                <w:sz w:val="14"/>
                <w:szCs w:val="14"/>
                <w:color w:val="auto"/>
              </w:rPr>
            </w:pP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63"/>
        </w:trPr>
        <w:tc>
          <w:tcPr>
            <w:tcW w:w="8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5"/>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319"/>
              <w:spacing w:after="0"/>
              <w:rPr>
                <w:sz w:val="20"/>
                <w:szCs w:val="20"/>
                <w:color w:val="auto"/>
              </w:rPr>
            </w:pPr>
            <w:r>
              <w:rPr>
                <w:rFonts w:ascii="Arial" w:cs="Arial" w:eastAsia="Arial" w:hAnsi="Arial"/>
                <w:sz w:val="12"/>
                <w:szCs w:val="12"/>
                <w:b w:val="1"/>
                <w:bCs w:val="1"/>
                <w:color w:val="auto"/>
              </w:rPr>
              <w:t>(Unaudited)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300,652</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Cash and cash equivalents</w:t>
            </w:r>
          </w:p>
        </w:tc>
        <w:tc>
          <w:tcPr>
            <w:tcW w:w="2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512,431</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Restricted cash</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37,457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28,538</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Investments in marketable equity securities and other investments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470,023</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418,938</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Accounts receivable,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372,466</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399,204</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Deferred income taxes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Inventories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3,929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7,985</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Other current assets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91,454</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82,692</w:t>
            </w:r>
          </w:p>
        </w:tc>
        <w:tc>
          <w:tcPr>
            <w:tcW w:w="0" w:type="dxa"/>
            <w:vAlign w:val="bottom"/>
          </w:tcPr>
          <w:p>
            <w:pPr>
              <w:spacing w:after="0"/>
              <w:rPr>
                <w:sz w:val="1"/>
                <w:szCs w:val="1"/>
                <w:color w:val="auto"/>
              </w:rPr>
            </w:pPr>
          </w:p>
        </w:tc>
      </w:tr>
      <w:tr>
        <w:trPr>
          <w:trHeight w:val="158"/>
        </w:trPr>
        <w:tc>
          <w:tcPr>
            <w:tcW w:w="8260" w:type="dxa"/>
            <w:vAlign w:val="bottom"/>
          </w:tcPr>
          <w:p>
            <w:pPr>
              <w:ind w:left="480"/>
              <w:spacing w:after="0" w:line="158" w:lineRule="exact"/>
              <w:rPr>
                <w:sz w:val="20"/>
                <w:szCs w:val="20"/>
                <w:color w:val="auto"/>
              </w:rPr>
            </w:pPr>
            <w:r>
              <w:rPr>
                <w:rFonts w:ascii="Arial" w:cs="Arial" w:eastAsia="Arial" w:hAnsi="Arial"/>
                <w:sz w:val="17"/>
                <w:szCs w:val="17"/>
                <w:b w:val="1"/>
                <w:bCs w:val="1"/>
                <w:color w:val="auto"/>
              </w:rPr>
              <w:t>Total Current Assets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1,275,981</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1,453,762</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Property, Plant and Equipment,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1,045,670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1,081,237</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Investments in Affiliates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22,068</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15,535</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Goodwill,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1,309,663</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1,317,915</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Indefinite-Lived Intangible Assets,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539,728</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539,728</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Amortized Intangible Assets,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42,053</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45,577</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Prepaid Pension Cost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589,230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604,823</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Deferred Charges and Other Assets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52,113</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46,492</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Assets</w:t>
            </w: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4,876,506</w:t>
            </w:r>
          </w:p>
        </w:tc>
        <w:tc>
          <w:tcPr>
            <w:tcW w:w="3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5,105,069</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444,972</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Accounts payable and accrued liabilities</w:t>
            </w:r>
          </w:p>
        </w:tc>
        <w:tc>
          <w:tcPr>
            <w:tcW w:w="24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486,396</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Income taxes payable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2,992</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Deferred income taxes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15,597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403,098</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395,837</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Dividends declared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222</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Short-term borrowings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3,169</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243,327</w:t>
            </w:r>
          </w:p>
        </w:tc>
        <w:tc>
          <w:tcPr>
            <w:tcW w:w="0" w:type="dxa"/>
            <w:vAlign w:val="bottom"/>
          </w:tcPr>
          <w:p>
            <w:pPr>
              <w:spacing w:after="0"/>
              <w:rPr>
                <w:sz w:val="1"/>
                <w:szCs w:val="1"/>
                <w:color w:val="auto"/>
              </w:rPr>
            </w:pPr>
          </w:p>
        </w:tc>
      </w:tr>
      <w:tr>
        <w:trPr>
          <w:trHeight w:val="158"/>
        </w:trPr>
        <w:tc>
          <w:tcPr>
            <w:tcW w:w="8260" w:type="dxa"/>
            <w:vAlign w:val="bottom"/>
          </w:tcPr>
          <w:p>
            <w:pPr>
              <w:ind w:left="480"/>
              <w:spacing w:after="0" w:line="158" w:lineRule="exact"/>
              <w:rPr>
                <w:sz w:val="20"/>
                <w:szCs w:val="20"/>
                <w:color w:val="auto"/>
              </w:rPr>
            </w:pPr>
            <w:r>
              <w:rPr>
                <w:rFonts w:ascii="Arial" w:cs="Arial" w:eastAsia="Arial" w:hAnsi="Arial"/>
                <w:sz w:val="17"/>
                <w:szCs w:val="17"/>
                <w:b w:val="1"/>
                <w:bCs w:val="1"/>
                <w:color w:val="auto"/>
              </w:rPr>
              <w:t>Total Current Liabilities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870,050</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1,126,286</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Postretirement Benefits Other Than Pensions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60,804</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59,949</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Accrued Compensation and Related Benefits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214,745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216,280</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Other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107,210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109,774</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Deferred Income Taxes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530,667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529,427</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Long-Term Debt</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453,726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453,384</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2,237,202</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2,495,100</w:t>
            </w:r>
          </w:p>
        </w:tc>
        <w:tc>
          <w:tcPr>
            <w:tcW w:w="0" w:type="dxa"/>
            <w:vAlign w:val="bottom"/>
          </w:tcPr>
          <w:p>
            <w:pPr>
              <w:spacing w:after="0"/>
              <w:rPr>
                <w:sz w:val="1"/>
                <w:szCs w:val="1"/>
                <w:color w:val="auto"/>
              </w:rPr>
            </w:pPr>
          </w:p>
        </w:tc>
      </w:tr>
      <w:tr>
        <w:trPr>
          <w:trHeight w:val="158"/>
        </w:trPr>
        <w:tc>
          <w:tcPr>
            <w:tcW w:w="8260" w:type="dxa"/>
            <w:vAlign w:val="bottom"/>
          </w:tcPr>
          <w:p>
            <w:pPr>
              <w:spacing w:after="0" w:line="158" w:lineRule="exact"/>
              <w:rPr>
                <w:sz w:val="20"/>
                <w:szCs w:val="20"/>
                <w:color w:val="auto"/>
              </w:rPr>
            </w:pPr>
            <w:r>
              <w:rPr>
                <w:rFonts w:ascii="Arial" w:cs="Arial" w:eastAsia="Arial" w:hAnsi="Arial"/>
                <w:sz w:val="17"/>
                <w:szCs w:val="17"/>
                <w:b w:val="1"/>
                <w:bCs w:val="1"/>
                <w:color w:val="auto"/>
              </w:rPr>
              <w:t>Redeemable Noncontrolling Interest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12,664</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12,655</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Redeemable Preferred Stock</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11,096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11,096</w:t>
            </w:r>
          </w:p>
        </w:tc>
        <w:tc>
          <w:tcPr>
            <w:tcW w:w="0" w:type="dxa"/>
            <w:vAlign w:val="bottom"/>
          </w:tcPr>
          <w:p>
            <w:pPr>
              <w:spacing w:after="0"/>
              <w:rPr>
                <w:sz w:val="1"/>
                <w:szCs w:val="1"/>
                <w:color w:val="auto"/>
              </w:rPr>
            </w:pPr>
          </w:p>
        </w:tc>
      </w:tr>
      <w:tr>
        <w:trPr>
          <w:trHeight w:val="179"/>
        </w:trPr>
        <w:tc>
          <w:tcPr>
            <w:tcW w:w="8260" w:type="dxa"/>
            <w:vAlign w:val="bottom"/>
          </w:tcPr>
          <w:p>
            <w:pPr>
              <w:spacing w:after="0" w:line="179" w:lineRule="exact"/>
              <w:rPr>
                <w:sz w:val="20"/>
                <w:szCs w:val="20"/>
                <w:color w:val="auto"/>
              </w:rPr>
            </w:pPr>
            <w:r>
              <w:rPr>
                <w:rFonts w:ascii="Arial" w:cs="Arial" w:eastAsia="Arial" w:hAnsi="Arial"/>
                <w:sz w:val="17"/>
                <w:szCs w:val="17"/>
                <w:b w:val="1"/>
                <w:bCs w:val="1"/>
                <w:color w:val="auto"/>
              </w:rPr>
              <w:t>Preferred Stock</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8260" w:type="dxa"/>
            <w:vAlign w:val="bottom"/>
          </w:tcPr>
          <w:p>
            <w:pPr>
              <w:spacing w:after="0" w:line="178" w:lineRule="exact"/>
              <w:rPr>
                <w:sz w:val="20"/>
                <w:szCs w:val="20"/>
                <w:color w:val="auto"/>
              </w:rPr>
            </w:pPr>
            <w:r>
              <w:rPr>
                <w:rFonts w:ascii="Arial" w:cs="Arial" w:eastAsia="Arial" w:hAnsi="Arial"/>
                <w:sz w:val="17"/>
                <w:szCs w:val="17"/>
                <w:b w:val="1"/>
                <w:bCs w:val="1"/>
                <w:color w:val="auto"/>
              </w:rPr>
              <w:t>Common Stockholders’ Equity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20,000</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Capital in excess of par value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244,176</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240,746</w:t>
            </w:r>
          </w:p>
        </w:tc>
        <w:tc>
          <w:tcPr>
            <w:tcW w:w="0" w:type="dxa"/>
            <w:vAlign w:val="bottom"/>
          </w:tcPr>
          <w:p>
            <w:pPr>
              <w:spacing w:after="0"/>
              <w:rPr>
                <w:sz w:val="1"/>
                <w:szCs w:val="1"/>
                <w:color w:val="auto"/>
              </w:rPr>
            </w:pPr>
          </w:p>
        </w:tc>
      </w:tr>
      <w:tr>
        <w:trPr>
          <w:trHeight w:val="206"/>
        </w:trPr>
        <w:tc>
          <w:tcPr>
            <w:tcW w:w="826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7"/>
                <w:szCs w:val="17"/>
                <w:b w:val="1"/>
                <w:bCs w:val="1"/>
                <w:color w:val="auto"/>
              </w:rPr>
              <w:t>4,551,493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4,546,775</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Accumulated other comprehensive income, net of tax</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21,881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480"/>
              <w:spacing w:after="0" w:line="166" w:lineRule="exact"/>
              <w:rPr>
                <w:sz w:val="20"/>
                <w:szCs w:val="20"/>
                <w:color w:val="auto"/>
              </w:rPr>
            </w:pPr>
            <w:r>
              <w:rPr>
                <w:rFonts w:ascii="Arial" w:cs="Arial" w:eastAsia="Arial" w:hAnsi="Arial"/>
                <w:sz w:val="17"/>
                <w:szCs w:val="17"/>
                <w:color w:val="auto"/>
              </w:rPr>
              <w:t>Cumulative foreign currency translation adjustment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26,072</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Unrealized gain on available-for-sale securities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139,669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110,553</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Unrealized gain on pensions and other postretirement plans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116,214</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117,169</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Cash flow hedge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(922)</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Cost of Class B common stock held in treasury</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(2,477,245)</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(2,474,347)</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Common Stockholders’ Equity</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2,615,266</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2,586,028</w:t>
            </w:r>
          </w:p>
        </w:tc>
        <w:tc>
          <w:tcPr>
            <w:tcW w:w="0" w:type="dxa"/>
            <w:vAlign w:val="bottom"/>
          </w:tcPr>
          <w:p>
            <w:pPr>
              <w:spacing w:after="0"/>
              <w:rPr>
                <w:sz w:val="1"/>
                <w:szCs w:val="1"/>
                <w:color w:val="auto"/>
              </w:rPr>
            </w:pPr>
          </w:p>
        </w:tc>
      </w:tr>
      <w:tr>
        <w:trPr>
          <w:trHeight w:val="179"/>
        </w:trPr>
        <w:tc>
          <w:tcPr>
            <w:tcW w:w="8260" w:type="dxa"/>
            <w:vAlign w:val="bottom"/>
          </w:tcPr>
          <w:p>
            <w:pPr>
              <w:spacing w:after="0" w:line="179" w:lineRule="exact"/>
              <w:rPr>
                <w:sz w:val="20"/>
                <w:szCs w:val="20"/>
                <w:color w:val="auto"/>
              </w:rPr>
            </w:pPr>
            <w:r>
              <w:rPr>
                <w:rFonts w:ascii="Arial" w:cs="Arial" w:eastAsia="Arial" w:hAnsi="Arial"/>
                <w:sz w:val="17"/>
                <w:szCs w:val="17"/>
                <w:color w:val="auto"/>
              </w:rPr>
              <w:t>Noncontrolling Interests</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278</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Equity</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2,615,544</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2,586,218</w:t>
            </w:r>
          </w:p>
        </w:tc>
        <w:tc>
          <w:tcPr>
            <w:tcW w:w="0" w:type="dxa"/>
            <w:vAlign w:val="bottom"/>
          </w:tcPr>
          <w:p>
            <w:pPr>
              <w:spacing w:after="0"/>
              <w:rPr>
                <w:sz w:val="1"/>
                <w:szCs w:val="1"/>
                <w:color w:val="auto"/>
              </w:rPr>
            </w:pPr>
          </w:p>
        </w:tc>
      </w:tr>
      <w:tr>
        <w:trPr>
          <w:trHeight w:val="179"/>
        </w:trPr>
        <w:tc>
          <w:tcPr>
            <w:tcW w:w="8260" w:type="dxa"/>
            <w:vAlign w:val="bottom"/>
          </w:tcPr>
          <w:p>
            <w:pPr>
              <w:ind w:left="700"/>
              <w:spacing w:after="0" w:line="179" w:lineRule="exact"/>
              <w:rPr>
                <w:sz w:val="20"/>
                <w:szCs w:val="20"/>
                <w:color w:val="auto"/>
              </w:rPr>
            </w:pPr>
            <w:r>
              <w:rPr>
                <w:rFonts w:ascii="Arial" w:cs="Arial" w:eastAsia="Arial" w:hAnsi="Arial"/>
                <w:sz w:val="17"/>
                <w:szCs w:val="17"/>
                <w:b w:val="1"/>
                <w:bCs w:val="1"/>
                <w:color w:val="auto"/>
              </w:rPr>
              <w:t>Total Liabilities and Equity</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4,876,506</w:t>
            </w:r>
          </w:p>
        </w:tc>
        <w:tc>
          <w:tcPr>
            <w:tcW w:w="3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5,105,069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13" w:lineRule="exact"/>
        <w:rPr>
          <w:sz w:val="20"/>
          <w:szCs w:val="20"/>
          <w:color w:val="auto"/>
        </w:rPr>
      </w:pPr>
    </w:p>
    <w:p>
      <w:pPr>
        <w:ind w:left="9340"/>
        <w:spacing w:after="0"/>
        <w:rPr>
          <w:sz w:val="20"/>
          <w:szCs w:val="20"/>
          <w:color w:val="auto"/>
        </w:rPr>
      </w:pPr>
      <w:r>
        <w:rPr>
          <w:rFonts w:ascii="Arial" w:cs="Arial" w:eastAsia="Arial" w:hAnsi="Arial"/>
          <w:sz w:val="12"/>
          <w:szCs w:val="12"/>
          <w:b w:val="1"/>
          <w:bCs w:val="1"/>
          <w:color w:val="auto"/>
        </w:rPr>
        <w:t>Three Months Ended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118"/>
              <w:spacing w:after="0"/>
              <w:rPr>
                <w:sz w:val="20"/>
                <w:szCs w:val="20"/>
                <w:color w:val="auto"/>
              </w:rPr>
            </w:pPr>
            <w:r>
              <w:rPr>
                <w:rFonts w:ascii="Arial" w:cs="Arial" w:eastAsia="Arial" w:hAnsi="Arial"/>
                <w:sz w:val="12"/>
                <w:szCs w:val="12"/>
                <w:b w:val="1"/>
                <w:bCs w:val="1"/>
                <w:color w:val="auto"/>
              </w:rPr>
              <w:t>March 31,</w:t>
            </w:r>
          </w:p>
        </w:tc>
      </w:tr>
      <w:tr>
        <w:trPr>
          <w:trHeight w:val="177"/>
        </w:trPr>
        <w:tc>
          <w:tcPr>
            <w:tcW w:w="8480" w:type="dxa"/>
            <w:vAlign w:val="bottom"/>
          </w:tcPr>
          <w:p>
            <w:pPr>
              <w:spacing w:after="0"/>
              <w:rPr>
                <w:sz w:val="20"/>
                <w:szCs w:val="20"/>
                <w:color w:val="auto"/>
              </w:rPr>
            </w:pPr>
            <w:r>
              <w:rPr>
                <w:rFonts w:ascii="Arial" w:cs="Arial" w:eastAsia="Arial" w:hAnsi="Arial"/>
                <w:sz w:val="12"/>
                <w:szCs w:val="12"/>
                <w:color w:val="auto"/>
              </w:rPr>
              <w:t>(in thousands)</w:t>
            </w:r>
          </w:p>
        </w:tc>
        <w:tc>
          <w:tcPr>
            <w:tcW w:w="1000" w:type="dxa"/>
            <w:vAlign w:val="bottom"/>
          </w:tcPr>
          <w:p>
            <w:pPr>
              <w:jc w:val="right"/>
              <w:ind w:right="138"/>
              <w:spacing w:after="0"/>
              <w:rPr>
                <w:sz w:val="20"/>
                <w:szCs w:val="20"/>
                <w:color w:val="auto"/>
              </w:rPr>
            </w:pPr>
            <w:r>
              <w:rPr>
                <w:rFonts w:ascii="Arial" w:cs="Arial" w:eastAsia="Arial" w:hAnsi="Arial"/>
                <w:sz w:val="12"/>
                <w:szCs w:val="12"/>
                <w:b w:val="1"/>
                <w:bCs w:val="1"/>
                <w:color w:val="auto"/>
              </w:rPr>
              <w:t>2013</w:t>
            </w:r>
          </w:p>
        </w:tc>
        <w:tc>
          <w:tcPr>
            <w:tcW w:w="1940" w:type="dxa"/>
            <w:vAlign w:val="bottom"/>
          </w:tcPr>
          <w:p>
            <w:pPr>
              <w:jc w:val="right"/>
              <w:ind w:right="498"/>
              <w:spacing w:after="0"/>
              <w:rPr>
                <w:sz w:val="20"/>
                <w:szCs w:val="20"/>
                <w:color w:val="auto"/>
              </w:rPr>
            </w:pPr>
            <w:r>
              <w:rPr>
                <w:rFonts w:ascii="Arial" w:cs="Arial" w:eastAsia="Arial" w:hAnsi="Arial"/>
                <w:sz w:val="12"/>
                <w:szCs w:val="12"/>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74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p>
      <w:pPr>
        <w:spacing w:after="0" w:line="229" w:lineRule="auto"/>
        <w:rPr>
          <w:sz w:val="20"/>
          <w:szCs w:val="20"/>
          <w:color w:val="auto"/>
        </w:rPr>
      </w:pPr>
      <w:r>
        <w:rPr>
          <w:rFonts w:ascii="Arial" w:cs="Arial" w:eastAsia="Arial" w:hAnsi="Arial"/>
          <w:sz w:val="17"/>
          <w:szCs w:val="17"/>
          <w:b w:val="1"/>
          <w:bCs w:val="1"/>
          <w:color w:val="auto"/>
        </w:rPr>
        <w:t>Cash Flows from Operating Activities</w:t>
      </w:r>
    </w:p>
    <w:p>
      <w:pPr>
        <w:spacing w:after="0" w:line="228" w:lineRule="auto"/>
        <w:rPr>
          <w:sz w:val="20"/>
          <w:szCs w:val="20"/>
          <w:color w:val="auto"/>
        </w:rPr>
      </w:pPr>
      <w:r>
        <w:rPr>
          <w:rFonts w:ascii="Arial" w:cs="Arial" w:eastAsia="Arial" w:hAnsi="Arial"/>
          <w:sz w:val="17"/>
          <w:szCs w:val="17"/>
          <w:b w:val="1"/>
          <w:bCs w:val="1"/>
          <w:color w:val="auto"/>
        </w:rPr>
        <w:t>Net Income</w:t>
      </w:r>
    </w:p>
    <w:p>
      <w:pPr>
        <w:spacing w:after="0" w:line="229" w:lineRule="auto"/>
        <w:rPr>
          <w:sz w:val="20"/>
          <w:szCs w:val="20"/>
          <w:color w:val="auto"/>
        </w:rPr>
      </w:pPr>
      <w:r>
        <w:rPr>
          <w:rFonts w:ascii="Arial" w:cs="Arial" w:eastAsia="Arial" w:hAnsi="Arial"/>
          <w:sz w:val="17"/>
          <w:szCs w:val="17"/>
          <w:color w:val="auto"/>
        </w:rPr>
        <w:t>Adjustments to reconcile net income to net cash provided by operating activities:</w:t>
      </w:r>
    </w:p>
    <w:p>
      <w:pPr>
        <w:ind w:left="240"/>
        <w:spacing w:after="0" w:line="228" w:lineRule="auto"/>
        <w:rPr>
          <w:sz w:val="20"/>
          <w:szCs w:val="20"/>
          <w:color w:val="auto"/>
        </w:rPr>
      </w:pPr>
      <w:r>
        <w:rPr>
          <w:rFonts w:ascii="Arial" w:cs="Arial" w:eastAsia="Arial" w:hAnsi="Arial"/>
          <w:sz w:val="17"/>
          <w:szCs w:val="17"/>
          <w:color w:val="auto"/>
        </w:rPr>
        <w:t>Depreciation of property, plant and equipment</w:t>
      </w:r>
    </w:p>
    <w:p>
      <w:pPr>
        <w:ind w:left="240"/>
        <w:spacing w:after="0" w:line="229" w:lineRule="auto"/>
        <w:rPr>
          <w:sz w:val="20"/>
          <w:szCs w:val="20"/>
          <w:color w:val="auto"/>
        </w:rPr>
      </w:pPr>
      <w:r>
        <w:rPr>
          <w:rFonts w:ascii="Arial" w:cs="Arial" w:eastAsia="Arial" w:hAnsi="Arial"/>
          <w:sz w:val="17"/>
          <w:szCs w:val="17"/>
          <w:color w:val="auto"/>
        </w:rPr>
        <w:t>Amortization of intangible assets</w:t>
      </w:r>
    </w:p>
    <w:p>
      <w:pPr>
        <w:ind w:left="240"/>
        <w:spacing w:after="0" w:line="228" w:lineRule="auto"/>
        <w:rPr>
          <w:sz w:val="20"/>
          <w:szCs w:val="20"/>
          <w:color w:val="auto"/>
        </w:rPr>
      </w:pPr>
      <w:r>
        <w:rPr>
          <w:rFonts w:ascii="Arial" w:cs="Arial" w:eastAsia="Arial" w:hAnsi="Arial"/>
          <w:sz w:val="17"/>
          <w:szCs w:val="17"/>
          <w:color w:val="auto"/>
        </w:rPr>
        <w:t>Net pension expense</w:t>
      </w:r>
    </w:p>
    <w:p>
      <w:pPr>
        <w:ind w:left="240"/>
        <w:spacing w:after="0" w:line="229" w:lineRule="auto"/>
        <w:rPr>
          <w:sz w:val="20"/>
          <w:szCs w:val="20"/>
          <w:color w:val="auto"/>
        </w:rPr>
      </w:pPr>
      <w:r>
        <w:rPr>
          <w:rFonts w:ascii="Arial" w:cs="Arial" w:eastAsia="Arial" w:hAnsi="Arial"/>
          <w:sz w:val="17"/>
          <w:szCs w:val="17"/>
          <w:color w:val="auto"/>
        </w:rPr>
        <w:t>Multiemployer pension plan withdrawal charge</w:t>
      </w:r>
    </w:p>
    <w:p>
      <w:pPr>
        <w:ind w:left="240"/>
        <w:spacing w:after="0" w:line="228" w:lineRule="auto"/>
        <w:rPr>
          <w:sz w:val="20"/>
          <w:szCs w:val="20"/>
          <w:color w:val="auto"/>
        </w:rPr>
      </w:pPr>
      <w:r>
        <w:rPr>
          <w:rFonts w:ascii="Arial" w:cs="Arial" w:eastAsia="Arial" w:hAnsi="Arial"/>
          <w:sz w:val="17"/>
          <w:szCs w:val="17"/>
          <w:color w:val="auto"/>
        </w:rPr>
        <w:t>Early retirement program expense</w:t>
      </w:r>
    </w:p>
    <w:p>
      <w:pPr>
        <w:ind w:left="240"/>
        <w:spacing w:after="0" w:line="229" w:lineRule="auto"/>
        <w:rPr>
          <w:sz w:val="20"/>
          <w:szCs w:val="20"/>
          <w:color w:val="auto"/>
        </w:rPr>
      </w:pPr>
      <w:r>
        <w:rPr>
          <w:rFonts w:ascii="Arial" w:cs="Arial" w:eastAsia="Arial" w:hAnsi="Arial"/>
          <w:sz w:val="17"/>
          <w:szCs w:val="17"/>
          <w:color w:val="auto"/>
        </w:rPr>
        <w:t>Foreign exchange loss (gain)</w:t>
      </w:r>
    </w:p>
    <w:p>
      <w:pPr>
        <w:ind w:left="240"/>
        <w:spacing w:after="0" w:line="229" w:lineRule="auto"/>
        <w:rPr>
          <w:sz w:val="20"/>
          <w:szCs w:val="20"/>
          <w:color w:val="auto"/>
        </w:rPr>
      </w:pPr>
      <w:r>
        <w:rPr>
          <w:rFonts w:ascii="Arial" w:cs="Arial" w:eastAsia="Arial" w:hAnsi="Arial"/>
          <w:sz w:val="17"/>
          <w:szCs w:val="17"/>
          <w:color w:val="auto"/>
        </w:rPr>
        <w:t>Net loss on sales of businesses</w:t>
      </w:r>
    </w:p>
    <w:p>
      <w:pPr>
        <w:ind w:left="240"/>
        <w:spacing w:after="0" w:line="228" w:lineRule="auto"/>
        <w:rPr>
          <w:sz w:val="20"/>
          <w:szCs w:val="20"/>
          <w:color w:val="auto"/>
        </w:rPr>
      </w:pPr>
      <w:r>
        <w:rPr>
          <w:rFonts w:ascii="Arial" w:cs="Arial" w:eastAsia="Arial" w:hAnsi="Arial"/>
          <w:sz w:val="17"/>
          <w:szCs w:val="17"/>
          <w:color w:val="auto"/>
        </w:rPr>
        <w:t>Equity in earnings of affiliates, net of distributions</w:t>
      </w:r>
    </w:p>
    <w:p>
      <w:pPr>
        <w:ind w:left="240"/>
        <w:spacing w:after="0" w:line="229" w:lineRule="auto"/>
        <w:rPr>
          <w:sz w:val="20"/>
          <w:szCs w:val="20"/>
          <w:color w:val="auto"/>
        </w:rPr>
      </w:pPr>
      <w:r>
        <w:rPr>
          <w:rFonts w:ascii="Arial" w:cs="Arial" w:eastAsia="Arial" w:hAnsi="Arial"/>
          <w:sz w:val="17"/>
          <w:szCs w:val="17"/>
          <w:color w:val="auto"/>
        </w:rPr>
        <w:t>Provision (benefit) for deferred income taxes</w:t>
      </w:r>
    </w:p>
    <w:p>
      <w:pPr>
        <w:ind w:left="240"/>
        <w:spacing w:after="0"/>
        <w:rPr>
          <w:sz w:val="20"/>
          <w:szCs w:val="20"/>
          <w:color w:val="auto"/>
        </w:rPr>
      </w:pPr>
      <w:r>
        <w:rPr>
          <w:rFonts w:ascii="Arial" w:cs="Arial" w:eastAsia="Arial" w:hAnsi="Arial"/>
          <w:sz w:val="16"/>
          <w:szCs w:val="16"/>
          <w:color w:val="auto"/>
        </w:rPr>
        <w:t>Net loss (gain) on sale or write-down of property, plant and equipment and other assets</w:t>
      </w:r>
    </w:p>
    <w:p>
      <w:pPr>
        <w:ind w:left="240"/>
        <w:spacing w:after="0" w:line="231" w:lineRule="auto"/>
        <w:rPr>
          <w:sz w:val="20"/>
          <w:szCs w:val="20"/>
          <w:color w:val="auto"/>
        </w:rPr>
      </w:pPr>
      <w:r>
        <w:rPr>
          <w:rFonts w:ascii="Arial" w:cs="Arial" w:eastAsia="Arial" w:hAnsi="Arial"/>
          <w:sz w:val="17"/>
          <w:szCs w:val="17"/>
          <w:color w:val="auto"/>
        </w:rPr>
        <w:t>Change in assets and liabilities:</w:t>
      </w:r>
    </w:p>
    <w:p>
      <w:pPr>
        <w:ind w:left="480"/>
        <w:spacing w:after="0" w:line="228" w:lineRule="auto"/>
        <w:rPr>
          <w:sz w:val="20"/>
          <w:szCs w:val="20"/>
          <w:color w:val="auto"/>
        </w:rPr>
      </w:pPr>
      <w:r>
        <w:rPr>
          <w:rFonts w:ascii="Arial" w:cs="Arial" w:eastAsia="Arial" w:hAnsi="Arial"/>
          <w:sz w:val="17"/>
          <w:szCs w:val="17"/>
          <w:color w:val="auto"/>
        </w:rPr>
        <w:t>Decrease in accounts receivable, net</w:t>
      </w:r>
    </w:p>
    <w:p>
      <w:pPr>
        <w:ind w:left="480"/>
        <w:spacing w:after="0" w:line="229" w:lineRule="auto"/>
        <w:rPr>
          <w:sz w:val="20"/>
          <w:szCs w:val="20"/>
          <w:color w:val="auto"/>
        </w:rPr>
      </w:pPr>
      <w:r>
        <w:rPr>
          <w:rFonts w:ascii="Arial" w:cs="Arial" w:eastAsia="Arial" w:hAnsi="Arial"/>
          <w:sz w:val="17"/>
          <w:szCs w:val="17"/>
          <w:color w:val="auto"/>
        </w:rPr>
        <w:t>Decrease in inventories</w:t>
      </w:r>
    </w:p>
    <w:p>
      <w:pPr>
        <w:ind w:left="480"/>
        <w:spacing w:after="0" w:line="228" w:lineRule="auto"/>
        <w:rPr>
          <w:sz w:val="20"/>
          <w:szCs w:val="20"/>
          <w:color w:val="auto"/>
        </w:rPr>
      </w:pPr>
      <w:r>
        <w:rPr>
          <w:rFonts w:ascii="Arial" w:cs="Arial" w:eastAsia="Arial" w:hAnsi="Arial"/>
          <w:sz w:val="17"/>
          <w:szCs w:val="17"/>
          <w:color w:val="auto"/>
        </w:rPr>
        <w:t>Decrease in accounts payable and accrued liabilities</w:t>
      </w:r>
    </w:p>
    <w:p>
      <w:pPr>
        <w:ind w:left="480"/>
        <w:spacing w:after="0" w:line="229" w:lineRule="auto"/>
        <w:rPr>
          <w:sz w:val="20"/>
          <w:szCs w:val="20"/>
          <w:color w:val="auto"/>
        </w:rPr>
      </w:pPr>
      <w:r>
        <w:rPr>
          <w:rFonts w:ascii="Arial" w:cs="Arial" w:eastAsia="Arial" w:hAnsi="Arial"/>
          <w:sz w:val="17"/>
          <w:szCs w:val="17"/>
          <w:color w:val="auto"/>
        </w:rPr>
        <w:t>Increase in deferred revenue</w:t>
      </w:r>
    </w:p>
    <w:p>
      <w:pPr>
        <w:ind w:left="480"/>
        <w:spacing w:after="0" w:line="228" w:lineRule="auto"/>
        <w:rPr>
          <w:sz w:val="20"/>
          <w:szCs w:val="20"/>
          <w:color w:val="auto"/>
        </w:rPr>
      </w:pPr>
      <w:r>
        <w:rPr>
          <w:rFonts w:ascii="Arial" w:cs="Arial" w:eastAsia="Arial" w:hAnsi="Arial"/>
          <w:sz w:val="17"/>
          <w:szCs w:val="17"/>
          <w:color w:val="auto"/>
        </w:rPr>
        <w:t>Increase in income taxes payable</w:t>
      </w:r>
    </w:p>
    <w:p>
      <w:pPr>
        <w:ind w:left="480"/>
        <w:spacing w:after="0" w:line="229" w:lineRule="auto"/>
        <w:rPr>
          <w:sz w:val="20"/>
          <w:szCs w:val="20"/>
          <w:color w:val="auto"/>
        </w:rPr>
      </w:pPr>
      <w:r>
        <w:rPr>
          <w:rFonts w:ascii="Arial" w:cs="Arial" w:eastAsia="Arial" w:hAnsi="Arial"/>
          <w:sz w:val="17"/>
          <w:szCs w:val="17"/>
          <w:color w:val="auto"/>
        </w:rPr>
        <w:t>Increase in other assets and other liabilities, net</w:t>
      </w:r>
    </w:p>
    <w:p>
      <w:pPr>
        <w:ind w:left="24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Purchases of property, plant and equipment</w:t>
      </w:r>
    </w:p>
    <w:p>
      <w:pPr>
        <w:ind w:left="240"/>
        <w:spacing w:after="0"/>
        <w:rPr>
          <w:sz w:val="20"/>
          <w:szCs w:val="20"/>
          <w:color w:val="auto"/>
        </w:rPr>
      </w:pPr>
      <w:r>
        <w:rPr>
          <w:rFonts w:ascii="Arial" w:cs="Arial" w:eastAsia="Arial" w:hAnsi="Arial"/>
          <w:sz w:val="16"/>
          <w:szCs w:val="16"/>
          <w:color w:val="auto"/>
        </w:rPr>
        <w:t>Net proceeds from sales of businesses, property, plant and equipment and other assets</w:t>
      </w:r>
    </w:p>
    <w:p>
      <w:pPr>
        <w:ind w:left="240"/>
        <w:spacing w:after="0" w:line="231" w:lineRule="auto"/>
        <w:rPr>
          <w:sz w:val="20"/>
          <w:szCs w:val="20"/>
          <w:color w:val="auto"/>
        </w:rPr>
      </w:pPr>
      <w:r>
        <w:rPr>
          <w:rFonts w:ascii="Arial" w:cs="Arial" w:eastAsia="Arial" w:hAnsi="Arial"/>
          <w:sz w:val="17"/>
          <w:szCs w:val="17"/>
          <w:color w:val="auto"/>
        </w:rPr>
        <w:t>Purchases of marketable equity securities and other investments</w:t>
      </w:r>
    </w:p>
    <w:p>
      <w:pPr>
        <w:ind w:left="240"/>
        <w:spacing w:after="0" w:line="228" w:lineRule="auto"/>
        <w:rPr>
          <w:sz w:val="20"/>
          <w:szCs w:val="20"/>
          <w:color w:val="auto"/>
        </w:rPr>
      </w:pPr>
      <w:r>
        <w:rPr>
          <w:rFonts w:ascii="Arial" w:cs="Arial" w:eastAsia="Arial" w:hAnsi="Arial"/>
          <w:sz w:val="17"/>
          <w:szCs w:val="17"/>
          <w:color w:val="auto"/>
        </w:rPr>
        <w:t>Investments in certain businesses, net of cash acquired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Repayment of short-term borrowing</w:t>
      </w:r>
    </w:p>
    <w:p>
      <w:pPr>
        <w:ind w:left="240"/>
        <w:spacing w:after="0" w:line="228" w:lineRule="auto"/>
        <w:rPr>
          <w:sz w:val="20"/>
          <w:szCs w:val="20"/>
          <w:color w:val="auto"/>
        </w:rPr>
      </w:pPr>
      <w:r>
        <w:rPr>
          <w:rFonts w:ascii="Arial" w:cs="Arial" w:eastAsia="Arial" w:hAnsi="Arial"/>
          <w:sz w:val="17"/>
          <w:szCs w:val="17"/>
          <w:color w:val="auto"/>
        </w:rPr>
        <w:t>Common shares repurchased</w:t>
      </w:r>
    </w:p>
    <w:p>
      <w:pPr>
        <w:ind w:left="240"/>
        <w:spacing w:after="0" w:line="229" w:lineRule="auto"/>
        <w:rPr>
          <w:sz w:val="20"/>
          <w:szCs w:val="20"/>
          <w:color w:val="auto"/>
        </w:rPr>
      </w:pPr>
      <w:r>
        <w:rPr>
          <w:rFonts w:ascii="Arial" w:cs="Arial" w:eastAsia="Arial" w:hAnsi="Arial"/>
          <w:sz w:val="17"/>
          <w:szCs w:val="17"/>
          <w:color w:val="auto"/>
        </w:rPr>
        <w:t>Dividends paid</w:t>
      </w:r>
    </w:p>
    <w:p>
      <w:pPr>
        <w:ind w:left="24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Currency Exchange Rate Change</w:t>
      </w:r>
    </w:p>
    <w:p>
      <w:pPr>
        <w:spacing w:after="0" w:line="233" w:lineRule="auto"/>
        <w:rPr>
          <w:sz w:val="20"/>
          <w:szCs w:val="20"/>
          <w:color w:val="auto"/>
        </w:rPr>
      </w:pPr>
      <w:r>
        <w:rPr>
          <w:rFonts w:ascii="Arial" w:cs="Arial" w:eastAsia="Arial" w:hAnsi="Arial"/>
          <w:sz w:val="17"/>
          <w:szCs w:val="17"/>
          <w:b w:val="1"/>
          <w:bCs w:val="1"/>
          <w:color w:val="auto"/>
        </w:rPr>
        <w:t>Net Decrease in Cash and Cash Equivalents</w:t>
      </w:r>
    </w:p>
    <w:p>
      <w:pPr>
        <w:spacing w:after="0"/>
        <w:rPr>
          <w:sz w:val="20"/>
          <w:szCs w:val="20"/>
          <w:color w:val="auto"/>
        </w:rPr>
      </w:pPr>
      <w:r>
        <w:rPr>
          <w:rFonts w:ascii="Arial" w:cs="Arial" w:eastAsia="Arial" w:hAnsi="Arial"/>
          <w:sz w:val="17"/>
          <w:szCs w:val="17"/>
          <w:b w:val="1"/>
          <w:bCs w:val="1"/>
          <w:color w:val="auto"/>
        </w:rPr>
        <w:t>Beginning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Ending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5,259</w:t>
            </w:r>
          </w:p>
        </w:tc>
        <w:tc>
          <w:tcPr>
            <w:tcW w:w="5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31,568</w:t>
            </w:r>
          </w:p>
        </w:tc>
      </w:tr>
      <w:tr>
        <w:trPr>
          <w:trHeight w:val="341"/>
        </w:trPr>
        <w:tc>
          <w:tcPr>
            <w:tcW w:w="34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65,973</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63,254</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3,717</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4,278</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4,390</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2,192</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349</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14,258</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1,022</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4,614</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(2,660)</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70</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3,082</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(3,408)</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(3,691)</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1,877</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(23,744)</w:t>
            </w:r>
          </w:p>
        </w:tc>
      </w:tr>
      <w:tr>
        <w:trPr>
          <w:trHeight w:val="218"/>
        </w:trPr>
        <w:tc>
          <w:tcPr>
            <w:tcW w:w="34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515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(7,203)</w:t>
            </w:r>
          </w:p>
        </w:tc>
      </w:tr>
      <w:tr>
        <w:trPr>
          <w:trHeight w:val="341"/>
        </w:trPr>
        <w:tc>
          <w:tcPr>
            <w:tcW w:w="34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23,020</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36,716</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3,658</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2,016</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(43,487)</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(22,828)</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15,529</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3,647</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2,273</w:t>
            </w:r>
          </w:p>
        </w:tc>
        <w:tc>
          <w:tcPr>
            <w:tcW w:w="52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11,019</w:t>
            </w:r>
          </w:p>
        </w:tc>
      </w:tr>
      <w:tr>
        <w:trPr>
          <w:trHeight w:val="206"/>
        </w:trPr>
        <w:tc>
          <w:tcPr>
            <w:tcW w:w="340" w:type="dxa"/>
            <w:vAlign w:val="bottom"/>
          </w:tcPr>
          <w:p>
            <w:pPr>
              <w:spacing w:after="0"/>
              <w:rPr>
                <w:sz w:val="17"/>
                <w:szCs w:val="17"/>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(24,202)</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(14,817)</w:t>
            </w:r>
          </w:p>
        </w:tc>
      </w:tr>
    </w:tbl>
    <w:p>
      <w:pPr>
        <w:ind w:left="2500" w:hanging="1692"/>
        <w:spacing w:after="0"/>
        <w:tabs>
          <w:tab w:leader="none" w:pos="25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165</w:t>
      </w:r>
    </w:p>
    <w:p>
      <w:pPr>
        <w:spacing w:after="0" w:line="13" w:lineRule="exact"/>
        <w:rPr>
          <w:rFonts w:ascii="Arial" w:cs="Arial" w:eastAsia="Arial" w:hAnsi="Arial"/>
          <w:sz w:val="16"/>
          <w:szCs w:val="16"/>
          <w:b w:val="1"/>
          <w:bCs w:val="1"/>
          <w:color w:val="auto"/>
        </w:rPr>
      </w:pPr>
    </w:p>
    <w:p>
      <w:pPr>
        <w:ind w:left="68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74,018</w:t>
      </w:r>
      <w:r>
        <w:rPr>
          <w:rFonts w:ascii="Arial" w:cs="Arial" w:eastAsia="Arial" w:hAnsi="Arial"/>
          <w:sz w:val="16"/>
          <w:szCs w:val="16"/>
          <w:color w:val="auto"/>
        </w:rPr>
        <w:t>84,016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-4445</wp:posOffset>
            </wp:positionV>
            <wp:extent cx="18757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5790" cy="762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-130175</wp:posOffset>
            </wp:positionV>
            <wp:extent cx="18757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1100" w:type="dxa"/>
            <w:vAlign w:val="bottom"/>
          </w:tcPr>
          <w:p>
            <w:pPr>
              <w:jc w:val="right"/>
              <w:ind w:right="397"/>
              <w:spacing w:after="0"/>
              <w:rPr>
                <w:sz w:val="20"/>
                <w:szCs w:val="20"/>
                <w:color w:val="auto"/>
              </w:rPr>
            </w:pPr>
            <w:r>
              <w:rPr>
                <w:rFonts w:ascii="Arial" w:cs="Arial" w:eastAsia="Arial" w:hAnsi="Arial"/>
                <w:sz w:val="17"/>
                <w:szCs w:val="17"/>
                <w:b w:val="1"/>
                <w:bCs w:val="1"/>
                <w:color w:val="auto"/>
                <w:w w:val="94"/>
              </w:rPr>
              <w:t>(36,462)</w:t>
            </w:r>
          </w:p>
        </w:tc>
        <w:tc>
          <w:tcPr>
            <w:tcW w:w="1100" w:type="dxa"/>
            <w:vAlign w:val="bottom"/>
          </w:tcPr>
          <w:p>
            <w:pPr>
              <w:jc w:val="right"/>
              <w:spacing w:after="0"/>
              <w:rPr>
                <w:sz w:val="20"/>
                <w:szCs w:val="20"/>
                <w:color w:val="auto"/>
              </w:rPr>
            </w:pPr>
            <w:r>
              <w:rPr>
                <w:rFonts w:ascii="Arial" w:cs="Arial" w:eastAsia="Arial" w:hAnsi="Arial"/>
                <w:sz w:val="17"/>
                <w:szCs w:val="17"/>
                <w:color w:val="auto"/>
              </w:rPr>
              <w:t>(44,875)</w:t>
            </w:r>
          </w:p>
        </w:tc>
      </w:tr>
      <w:tr>
        <w:trPr>
          <w:trHeight w:val="186"/>
        </w:trPr>
        <w:tc>
          <w:tcPr>
            <w:tcW w:w="1100" w:type="dxa"/>
            <w:vAlign w:val="bottom"/>
          </w:tcPr>
          <w:p>
            <w:pPr>
              <w:jc w:val="right"/>
              <w:ind w:right="397"/>
              <w:spacing w:after="0" w:line="186" w:lineRule="exact"/>
              <w:rPr>
                <w:sz w:val="20"/>
                <w:szCs w:val="20"/>
                <w:color w:val="auto"/>
              </w:rPr>
            </w:pPr>
            <w:r>
              <w:rPr>
                <w:rFonts w:ascii="Arial" w:cs="Arial" w:eastAsia="Arial" w:hAnsi="Arial"/>
                <w:sz w:val="17"/>
                <w:szCs w:val="17"/>
                <w:b w:val="1"/>
                <w:bCs w:val="1"/>
                <w:color w:val="auto"/>
              </w:rPr>
              <w:t>3,636</w:t>
            </w:r>
          </w:p>
        </w:tc>
        <w:tc>
          <w:tcPr>
            <w:tcW w:w="1100" w:type="dxa"/>
            <w:vAlign w:val="bottom"/>
          </w:tcPr>
          <w:p>
            <w:pPr>
              <w:jc w:val="right"/>
              <w:spacing w:after="0" w:line="186" w:lineRule="exact"/>
              <w:rPr>
                <w:sz w:val="20"/>
                <w:szCs w:val="20"/>
                <w:color w:val="auto"/>
              </w:rPr>
            </w:pPr>
            <w:r>
              <w:rPr>
                <w:rFonts w:ascii="Arial" w:cs="Arial" w:eastAsia="Arial" w:hAnsi="Arial"/>
                <w:sz w:val="17"/>
                <w:szCs w:val="17"/>
                <w:color w:val="auto"/>
              </w:rPr>
              <w:t>7,702</w:t>
            </w:r>
          </w:p>
        </w:tc>
      </w:tr>
      <w:tr>
        <w:trPr>
          <w:trHeight w:val="206"/>
        </w:trPr>
        <w:tc>
          <w:tcPr>
            <w:tcW w:w="1100" w:type="dxa"/>
            <w:vAlign w:val="bottom"/>
          </w:tcPr>
          <w:p>
            <w:pPr>
              <w:jc w:val="right"/>
              <w:ind w:right="397"/>
              <w:spacing w:after="0"/>
              <w:rPr>
                <w:sz w:val="20"/>
                <w:szCs w:val="20"/>
                <w:color w:val="auto"/>
              </w:rPr>
            </w:pPr>
            <w:r>
              <w:rPr>
                <w:rFonts w:ascii="Arial" w:cs="Arial" w:eastAsia="Arial" w:hAnsi="Arial"/>
                <w:sz w:val="17"/>
                <w:szCs w:val="17"/>
                <w:b w:val="1"/>
                <w:bCs w:val="1"/>
                <w:color w:val="auto"/>
              </w:rPr>
              <w:t>(8,623)</w:t>
            </w:r>
          </w:p>
        </w:tc>
        <w:tc>
          <w:tcPr>
            <w:tcW w:w="1100" w:type="dxa"/>
            <w:vAlign w:val="bottom"/>
          </w:tcPr>
          <w:p>
            <w:pPr>
              <w:jc w:val="right"/>
              <w:spacing w:after="0"/>
              <w:rPr>
                <w:sz w:val="20"/>
                <w:szCs w:val="20"/>
                <w:color w:val="auto"/>
              </w:rPr>
            </w:pPr>
            <w:r>
              <w:rPr>
                <w:rFonts w:ascii="Arial" w:cs="Arial" w:eastAsia="Arial" w:hAnsi="Arial"/>
                <w:sz w:val="17"/>
                <w:szCs w:val="17"/>
                <w:color w:val="auto"/>
              </w:rPr>
              <w:t>(23,003)</w:t>
            </w:r>
          </w:p>
        </w:tc>
      </w:tr>
    </w:tbl>
    <w:p>
      <w:pPr>
        <w:ind w:left="2260" w:hanging="1452"/>
        <w:spacing w:after="0"/>
        <w:tabs>
          <w:tab w:leader="none" w:pos="22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(2,545)</w:t>
      </w:r>
    </w:p>
    <w:p>
      <w:pPr>
        <w:spacing w:after="0" w:line="2" w:lineRule="exact"/>
        <w:rPr>
          <w:sz w:val="20"/>
          <w:szCs w:val="20"/>
          <w:color w:val="auto"/>
        </w:rPr>
      </w:pPr>
    </w:p>
    <w:p>
      <w:pPr>
        <w:ind w:left="2360" w:hanging="1460"/>
        <w:spacing w:after="0"/>
        <w:tabs>
          <w:tab w:leader="none" w:pos="23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1,571</w:t>
      </w:r>
    </w:p>
    <w:p>
      <w:pPr>
        <w:spacing w:after="0" w:line="13"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(42,167)</w:t>
      </w:r>
      <w:r>
        <w:rPr>
          <w:rFonts w:ascii="Arial" w:cs="Arial" w:eastAsia="Arial" w:hAnsi="Arial"/>
          <w:sz w:val="16"/>
          <w:szCs w:val="16"/>
          <w:color w:val="auto"/>
        </w:rPr>
        <w:t>(61,150)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-4445</wp:posOffset>
            </wp:positionV>
            <wp:extent cx="18757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5790" cy="762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-130175</wp:posOffset>
            </wp:positionV>
            <wp:extent cx="18757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pacing w:after="0" w:line="336" w:lineRule="exact"/>
        <w:rPr>
          <w:sz w:val="20"/>
          <w:szCs w:val="20"/>
          <w:color w:val="auto"/>
        </w:rPr>
      </w:pPr>
    </w:p>
    <w:p>
      <w:pPr>
        <w:ind w:left="480"/>
        <w:spacing w:after="0"/>
        <w:tabs>
          <w:tab w:leader="none" w:pos="2060" w:val="left"/>
        </w:tabs>
        <w:rPr>
          <w:sz w:val="20"/>
          <w:szCs w:val="20"/>
          <w:color w:val="auto"/>
        </w:rPr>
      </w:pPr>
      <w:r>
        <w:rPr>
          <w:rFonts w:ascii="Arial" w:cs="Arial" w:eastAsia="Arial" w:hAnsi="Arial"/>
          <w:sz w:val="16"/>
          <w:szCs w:val="16"/>
          <w:b w:val="1"/>
          <w:bCs w:val="1"/>
          <w:color w:val="auto"/>
        </w:rPr>
        <w:t>(240,121)</w:t>
      </w:r>
      <w:r>
        <w:rPr>
          <w:sz w:val="20"/>
          <w:szCs w:val="20"/>
          <w:color w:val="auto"/>
        </w:rPr>
        <w:tab/>
      </w:r>
      <w:r>
        <w:rPr>
          <w:rFonts w:ascii="Arial" w:cs="Arial" w:eastAsia="Arial" w:hAnsi="Arial"/>
          <w:sz w:val="16"/>
          <w:szCs w:val="16"/>
          <w:color w:val="auto"/>
        </w:rPr>
        <w:t>(109,671)</w:t>
      </w:r>
    </w:p>
    <w:p>
      <w:pPr>
        <w:spacing w:after="0" w:line="22" w:lineRule="exact"/>
        <w:rPr>
          <w:sz w:val="20"/>
          <w:szCs w:val="20"/>
          <w:color w:val="auto"/>
        </w:rPr>
      </w:pPr>
    </w:p>
    <w:p>
      <w:pPr>
        <w:ind w:left="680"/>
        <w:spacing w:after="0"/>
        <w:tabs>
          <w:tab w:leader="none" w:pos="2380" w:val="left"/>
        </w:tabs>
        <w:rPr>
          <w:sz w:val="20"/>
          <w:szCs w:val="20"/>
          <w:color w:val="auto"/>
        </w:rPr>
      </w:pPr>
      <w:r>
        <w:rPr>
          <w:rFonts w:ascii="Arial" w:cs="Arial" w:eastAsia="Arial" w:hAnsi="Arial"/>
          <w:sz w:val="16"/>
          <w:szCs w:val="16"/>
          <w:b w:val="1"/>
          <w:bCs w:val="1"/>
          <w:color w:val="auto"/>
        </w:rPr>
        <w:t>(4,196)</w:t>
      </w:r>
      <w:r>
        <w:rPr>
          <w:sz w:val="20"/>
          <w:szCs w:val="20"/>
          <w:color w:val="auto"/>
        </w:rPr>
        <w:tab/>
      </w:r>
      <w:r>
        <w:rPr>
          <w:rFonts w:ascii="Arial" w:cs="Arial" w:eastAsia="Arial" w:hAnsi="Arial"/>
          <w:sz w:val="16"/>
          <w:szCs w:val="16"/>
          <w:color w:val="auto"/>
        </w:rPr>
        <w:t>(136)</w:t>
      </w:r>
    </w:p>
    <w:p>
      <w:pPr>
        <w:spacing w:after="0" w:line="2" w:lineRule="exact"/>
        <w:rPr>
          <w:sz w:val="20"/>
          <w:szCs w:val="20"/>
          <w:color w:val="auto"/>
        </w:rPr>
      </w:pPr>
    </w:p>
    <w:p>
      <w:pPr>
        <w:ind w:left="2160" w:hanging="1352"/>
        <w:spacing w:after="0"/>
        <w:tabs>
          <w:tab w:leader="none" w:pos="21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(18,889)</w:t>
      </w:r>
    </w:p>
    <w:p>
      <w:pPr>
        <w:spacing w:after="0" w:line="2" w:lineRule="exact"/>
        <w:rPr>
          <w:rFonts w:ascii="Arial" w:cs="Arial" w:eastAsia="Arial" w:hAnsi="Arial"/>
          <w:sz w:val="16"/>
          <w:szCs w:val="16"/>
          <w:b w:val="1"/>
          <w:bCs w:val="1"/>
          <w:color w:val="auto"/>
        </w:rPr>
      </w:pPr>
    </w:p>
    <w:p>
      <w:pPr>
        <w:ind w:left="780"/>
        <w:spacing w:after="0"/>
        <w:rPr>
          <w:rFonts w:ascii="Arial" w:cs="Arial" w:eastAsia="Arial" w:hAnsi="Arial"/>
          <w:sz w:val="16"/>
          <w:szCs w:val="16"/>
          <w:b w:val="1"/>
          <w:bCs w:val="1"/>
          <w:color w:val="auto"/>
        </w:rPr>
      </w:pPr>
      <w:r>
        <w:rPr>
          <w:rFonts w:ascii="Arial" w:cs="Arial" w:eastAsia="Arial" w:hAnsi="Arial"/>
          <w:sz w:val="17"/>
          <w:szCs w:val="17"/>
          <w:b w:val="1"/>
          <w:bCs w:val="1"/>
          <w:color w:val="auto"/>
        </w:rPr>
        <w:t>3,311</w:t>
      </w:r>
      <w:r>
        <w:rPr>
          <w:rFonts w:ascii="Arial" w:cs="Arial" w:eastAsia="Arial" w:hAnsi="Arial"/>
          <w:sz w:val="16"/>
          <w:szCs w:val="16"/>
          <w:color w:val="auto"/>
        </w:rPr>
        <w:t>16,459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-5080</wp:posOffset>
            </wp:positionV>
            <wp:extent cx="18757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480"/>
        <w:spacing w:after="0"/>
        <w:tabs>
          <w:tab w:leader="none" w:pos="2060" w:val="left"/>
        </w:tabs>
        <w:rPr>
          <w:sz w:val="20"/>
          <w:szCs w:val="20"/>
          <w:color w:val="auto"/>
        </w:rPr>
      </w:pPr>
      <w:r>
        <w:rPr>
          <w:rFonts w:ascii="Arial" w:cs="Arial" w:eastAsia="Arial" w:hAnsi="Arial"/>
          <w:sz w:val="16"/>
          <w:szCs w:val="16"/>
          <w:b w:val="1"/>
          <w:bCs w:val="1"/>
          <w:color w:val="auto"/>
        </w:rPr>
        <w:t>(241,228)</w:t>
      </w:r>
      <w:r>
        <w:rPr>
          <w:sz w:val="20"/>
          <w:szCs w:val="20"/>
          <w:color w:val="auto"/>
        </w:rPr>
        <w:tab/>
      </w:r>
      <w:r>
        <w:rPr>
          <w:rFonts w:ascii="Arial" w:cs="Arial" w:eastAsia="Arial" w:hAnsi="Arial"/>
          <w:sz w:val="16"/>
          <w:szCs w:val="16"/>
          <w:color w:val="auto"/>
        </w:rPr>
        <w:t>(112,237)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2540</wp:posOffset>
            </wp:positionV>
            <wp:extent cx="18757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680"/>
        <w:spacing w:after="0"/>
        <w:tabs>
          <w:tab w:leader="none" w:pos="2340" w:val="left"/>
        </w:tabs>
        <w:rPr>
          <w:sz w:val="20"/>
          <w:szCs w:val="20"/>
          <w:color w:val="auto"/>
        </w:rPr>
      </w:pPr>
      <w:r>
        <w:rPr>
          <w:rFonts w:ascii="Arial" w:cs="Arial" w:eastAsia="Arial" w:hAnsi="Arial"/>
          <w:sz w:val="16"/>
          <w:szCs w:val="16"/>
          <w:b w:val="1"/>
          <w:bCs w:val="1"/>
          <w:color w:val="auto"/>
        </w:rPr>
        <w:t>(2,402)</w:t>
      </w:r>
      <w:r>
        <w:rPr>
          <w:sz w:val="20"/>
          <w:szCs w:val="20"/>
          <w:color w:val="auto"/>
        </w:rPr>
        <w:tab/>
      </w:r>
      <w:r>
        <w:rPr>
          <w:rFonts w:ascii="Arial" w:cs="Arial" w:eastAsia="Arial" w:hAnsi="Arial"/>
          <w:sz w:val="16"/>
          <w:szCs w:val="16"/>
          <w:color w:val="auto"/>
        </w:rPr>
        <w:t>3,263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2540</wp:posOffset>
            </wp:positionV>
            <wp:extent cx="18757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480"/>
        <w:spacing w:after="0"/>
        <w:tabs>
          <w:tab w:leader="none" w:pos="2140" w:val="left"/>
        </w:tabs>
        <w:rPr>
          <w:sz w:val="20"/>
          <w:szCs w:val="20"/>
          <w:color w:val="auto"/>
        </w:rPr>
      </w:pPr>
      <w:r>
        <w:rPr>
          <w:rFonts w:ascii="Arial" w:cs="Arial" w:eastAsia="Arial" w:hAnsi="Arial"/>
          <w:sz w:val="16"/>
          <w:szCs w:val="16"/>
          <w:b w:val="1"/>
          <w:bCs w:val="1"/>
          <w:color w:val="auto"/>
        </w:rPr>
        <w:t>(211,779)</w:t>
      </w:r>
      <w:r>
        <w:rPr>
          <w:sz w:val="20"/>
          <w:szCs w:val="20"/>
          <w:color w:val="auto"/>
        </w:rPr>
        <w:tab/>
      </w:r>
      <w:r>
        <w:rPr>
          <w:rFonts w:ascii="Arial" w:cs="Arial" w:eastAsia="Arial" w:hAnsi="Arial"/>
          <w:sz w:val="16"/>
          <w:szCs w:val="16"/>
          <w:color w:val="auto"/>
        </w:rPr>
        <w:t>(86,108)</w:t>
      </w:r>
    </w:p>
    <w:p>
      <w:pPr>
        <w:spacing w:after="0" w:line="3" w:lineRule="exact"/>
        <w:rPr>
          <w:sz w:val="20"/>
          <w:szCs w:val="20"/>
          <w:color w:val="auto"/>
        </w:rPr>
      </w:pPr>
    </w:p>
    <w:p>
      <w:pPr>
        <w:ind w:left="600"/>
        <w:spacing w:after="0"/>
        <w:tabs>
          <w:tab w:leader="none" w:pos="2160" w:val="left"/>
        </w:tabs>
        <w:rPr>
          <w:sz w:val="20"/>
          <w:szCs w:val="20"/>
          <w:color w:val="auto"/>
        </w:rPr>
      </w:pPr>
      <w:r>
        <w:rPr>
          <w:rFonts w:ascii="Arial" w:cs="Arial" w:eastAsia="Arial" w:hAnsi="Arial"/>
          <w:sz w:val="16"/>
          <w:szCs w:val="16"/>
          <w:b w:val="1"/>
          <w:bCs w:val="1"/>
          <w:color w:val="auto"/>
        </w:rPr>
        <w:t>512,431</w:t>
      </w:r>
      <w:r>
        <w:rPr>
          <w:sz w:val="20"/>
          <w:szCs w:val="20"/>
          <w:color w:val="auto"/>
        </w:rPr>
        <w:tab/>
      </w:r>
      <w:r>
        <w:rPr>
          <w:rFonts w:ascii="Arial" w:cs="Arial" w:eastAsia="Arial" w:hAnsi="Arial"/>
          <w:sz w:val="16"/>
          <w:szCs w:val="16"/>
          <w:color w:val="auto"/>
        </w:rPr>
        <w:t>381,099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1905</wp:posOffset>
            </wp:positionV>
            <wp:extent cx="18757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pacing w:after="0"/>
        <w:tabs>
          <w:tab w:leader="none" w:pos="580" w:val="left"/>
          <w:tab w:leader="none" w:pos="1580" w:val="left"/>
          <w:tab w:leader="none" w:pos="216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300,652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294,991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-4445</wp:posOffset>
            </wp:positionV>
            <wp:extent cx="18757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5790" cy="762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10795</wp:posOffset>
            </wp:positionV>
            <wp:extent cx="18757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ectPr>
          <w:pgSz w:w="11900" w:h="16838" w:orient="portrait"/>
          <w:cols w:equalWidth="0" w:num="2">
            <w:col w:w="7880" w:space="720"/>
            <w:col w:w="2820"/>
          </w:cols>
          <w:pgMar w:left="240" w:top="789" w:right="239" w:bottom="1440" w:gutter="0" w:footer="0" w:header="0"/>
          <w:type w:val="continuous"/>
        </w:sectPr>
      </w:pPr>
    </w:p>
    <w:bookmarkStart w:id="6" w:name="page7"/>
    <w:bookmarkEnd w:id="6"/>
    <w:p>
      <w:pPr>
        <w:ind w:left="4260"/>
        <w:spacing w:after="0"/>
        <w:rPr>
          <w:sz w:val="20"/>
          <w:szCs w:val="20"/>
          <w:color w:val="auto"/>
        </w:rPr>
      </w:pPr>
      <w:r>
        <w:rPr>
          <w:rFonts w:ascii="Arial" w:cs="Arial" w:eastAsia="Arial" w:hAnsi="Arial"/>
          <w:sz w:val="17"/>
          <w:szCs w:val="17"/>
          <w:b w:val="1"/>
          <w:bCs w:val="1"/>
          <w:color w:val="auto"/>
        </w:rPr>
        <w:t>THE WASHINGTON POST COMPANY</w:t>
      </w:r>
    </w:p>
    <w:p>
      <w:pPr>
        <w:spacing w:after="0" w:line="177"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55" w:lineRule="exact"/>
        <w:rPr>
          <w:sz w:val="20"/>
          <w:szCs w:val="20"/>
          <w:color w:val="auto"/>
        </w:rPr>
      </w:pPr>
    </w:p>
    <w:p>
      <w:pPr>
        <w:ind w:right="720"/>
        <w:spacing w:after="0" w:line="255" w:lineRule="auto"/>
        <w:rPr>
          <w:sz w:val="20"/>
          <w:szCs w:val="20"/>
          <w:color w:val="auto"/>
        </w:rPr>
      </w:pPr>
      <w:r>
        <w:rPr>
          <w:rFonts w:ascii="Arial" w:cs="Arial" w:eastAsia="Arial" w:hAnsi="Arial"/>
          <w:sz w:val="17"/>
          <w:szCs w:val="17"/>
          <w:b w:val="1"/>
          <w:bCs w:val="1"/>
          <w:color w:val="auto"/>
        </w:rPr>
        <w:t xml:space="preserve">Financial Periods </w:t>
      </w:r>
      <w:r>
        <w:rPr>
          <w:rFonts w:ascii="Arial" w:cs="Arial" w:eastAsia="Arial" w:hAnsi="Arial"/>
          <w:sz w:val="17"/>
          <w:szCs w:val="17"/>
          <w:color w:val="auto"/>
        </w:rPr>
        <w:t>– The Company and its subsidiaries report on a calendar-quarter basis, with the exception of most of the newspaper publishing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which report on a thirteen week quarter ending on the Sunday nearest the calendar quarter-end.</w:t>
      </w:r>
    </w:p>
    <w:p>
      <w:pPr>
        <w:spacing w:after="0" w:line="14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 accepted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quarterly periods ended March 31, 2013 and 2012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year ended December 31, 2012.</w:t>
      </w:r>
    </w:p>
    <w:p>
      <w:pPr>
        <w:spacing w:after="0" w:line="175"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GAAP.</w:t>
      </w:r>
    </w:p>
    <w:p>
      <w:pPr>
        <w:spacing w:after="0" w:line="176" w:lineRule="exact"/>
        <w:rPr>
          <w:sz w:val="20"/>
          <w:szCs w:val="20"/>
          <w:color w:val="auto"/>
        </w:rPr>
      </w:pPr>
    </w:p>
    <w:p>
      <w:pPr>
        <w:ind w:right="900"/>
        <w:spacing w:after="0" w:line="235" w:lineRule="auto"/>
        <w:rPr>
          <w:sz w:val="20"/>
          <w:szCs w:val="20"/>
          <w:color w:val="auto"/>
        </w:rPr>
      </w:pPr>
      <w:r>
        <w:rPr>
          <w:rFonts w:ascii="Arial" w:cs="Arial" w:eastAsia="Arial" w:hAnsi="Arial"/>
          <w:sz w:val="17"/>
          <w:szCs w:val="17"/>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4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February 2013, the Financial Accounting Standards Board (“FASB”) issued final</w:t>
      </w:r>
      <w:r>
        <w:rPr>
          <w:rFonts w:ascii="Arial" w:cs="Arial" w:eastAsia="Arial" w:hAnsi="Arial"/>
          <w:sz w:val="16"/>
          <w:szCs w:val="16"/>
          <w:b w:val="1"/>
          <w:bCs w:val="1"/>
          <w:color w:val="auto"/>
        </w:rPr>
        <w:t xml:space="preserve"> </w:t>
      </w:r>
      <w:r>
        <w:rPr>
          <w:rFonts w:ascii="Arial" w:cs="Arial" w:eastAsia="Arial" w:hAnsi="Arial"/>
          <w:sz w:val="16"/>
          <w:szCs w:val="16"/>
          <w:color w:val="auto"/>
        </w:rPr>
        <w:t>guidance on the presentation of reclassifications out of other comprehensive income to net income. The amendment requires an entity to provide information about the amounts reclassified out of other comprehensive income by component. In addition, an entity is required to present, either on the face of the income statement or in a footnote, significant amounts reclassified out of accumulated other comprehensive income by the respective line items of net income, only if the amount reclassified is required by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detail about those amounts. This amendment is effective for interim and fiscal years beginning after December 15, 2012. The adoption of the amendment in the first quarter of 2013 is reflected in the Company's Notes to Condensed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2. DISCONTINUED OPERATIONS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March 2013, the Company completed the sale of The Herald, a daily and Sunday newspaper headquartered in Everett, WA. Under the terms of the agreement, the purchaser received most of the assets and liabilities; however, certain land and buildings and other assets and liabilities were retained by the Company. The results of operations of The Herald for the first quarter of 2013 and 2012, are included in the Company’s Condensed Consolidated Statements of Operations as Income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Condensed Consolidated Balance Sheets or Statements of Cash Flows to reflect the discontinued operations.</w:t>
      </w:r>
    </w:p>
    <w:p>
      <w:pPr>
        <w:spacing w:after="0" w:line="172"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In August 2012, the Company completed the sale of Kidum and recorded a pre-tax gain of $3.6 million and an after-tax gain of $10.2 million related to this sale in the third quarter of 2012. On July 31, 2012, the Company disposed of its interest in Avenue100 Media Solutions, Inc. and recorded a pre-tax loss of $5.7 million related to the disposition. An income tax benefit of $44.5 million was also recorded in the third quarter of 2012 as the Company determined that Avenue100 had no value. The income tax benefit was due to the Company’s tax basis in the stock of Avenue100 exceeding its net book value, as a result of goodwill and other intangible asset impairment charges recorded in 2008, 2010 and 2011 for which no tax benefit was previously recorded. In April 2012, the Company completed the sale of Kaplan EduNeering. Under the terms of the agreement, the purchaser acquired the stock of EduNeering and received substantially all the assets and liabilities. In the second quarter of 2012, the Company recorded an after-tax gain of $18.5 million related to this sale. In February 2012, Kaplan completed the stock sale of Kaplan Learning Technologies (KLT) and recorded an after-tax loss on the sale of $1.9 million. The Company recorded $23.2 million of income tax benefits in the first quarter of 2012 in connection with the sale of its stock in EduNeering and KLT related to the excess of the outside stock tax basis over the net book value of the net assets disposed. The results of operations of Kidum, Avenue100, EduNeering, and KLT, for the first quarter of 2012 are included in the Company’s Condensed Consolidated Statement of Operations as Income (Loss) from Discontinued Operations, Net of Tax.</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summarized (loss) income from discontinued operations, net of tax,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49"/>
              <w:spacing w:after="0" w:line="129"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7"/>
              <w:spacing w:after="0" w:line="129" w:lineRule="exact"/>
              <w:rPr>
                <w:sz w:val="20"/>
                <w:szCs w:val="20"/>
                <w:color w:val="auto"/>
              </w:rPr>
            </w:pPr>
            <w:r>
              <w:rPr>
                <w:rFonts w:ascii="Arial" w:cs="Arial" w:eastAsia="Arial" w:hAnsi="Arial"/>
                <w:sz w:val="12"/>
                <w:szCs w:val="12"/>
                <w:color w:val="auto"/>
                <w:w w:val="97"/>
              </w:rPr>
              <w:t>2012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4020" w:type="dxa"/>
            <w:vAlign w:val="bottom"/>
            <w:gridSpan w:val="2"/>
          </w:tcPr>
          <w:p>
            <w:pPr>
              <w:jc w:val="right"/>
              <w:ind w:right="86"/>
              <w:spacing w:after="0" w:line="150" w:lineRule="exact"/>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3,461</w:t>
            </w:r>
          </w:p>
        </w:tc>
        <w:tc>
          <w:tcPr>
            <w:tcW w:w="58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23,171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(5,477)</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(2,016)</w:t>
            </w:r>
          </w:p>
        </w:tc>
        <w:tc>
          <w:tcPr>
            <w:tcW w:w="580" w:type="dxa"/>
            <w:vAlign w:val="bottom"/>
          </w:tcPr>
          <w:p>
            <w:pPr>
              <w:spacing w:after="0"/>
              <w:rPr>
                <w:sz w:val="13"/>
                <w:szCs w:val="13"/>
                <w:color w:val="auto"/>
              </w:rPr>
            </w:pP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(4,173)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(676)</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line="150" w:lineRule="exact"/>
              <w:rPr>
                <w:sz w:val="20"/>
                <w:szCs w:val="20"/>
                <w:color w:val="auto"/>
              </w:rPr>
            </w:pPr>
            <w:r>
              <w:rPr>
                <w:rFonts w:ascii="Arial" w:cs="Arial" w:eastAsia="Arial" w:hAnsi="Arial"/>
                <w:sz w:val="15"/>
                <w:szCs w:val="15"/>
                <w:b w:val="1"/>
                <w:bCs w:val="1"/>
                <w:color w:val="auto"/>
              </w:rPr>
              <w:t>Net (Loss) Income from Discontinued Operations</w:t>
            </w:r>
          </w:p>
        </w:tc>
        <w:tc>
          <w:tcPr>
            <w:tcW w:w="3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(1,340)</w:t>
            </w:r>
          </w:p>
        </w:tc>
        <w:tc>
          <w:tcPr>
            <w:tcW w:w="580" w:type="dxa"/>
            <w:vAlign w:val="bottom"/>
          </w:tcPr>
          <w:p>
            <w:pPr>
              <w:spacing w:after="0"/>
              <w:rPr>
                <w:sz w:val="13"/>
                <w:szCs w:val="13"/>
                <w:color w:val="auto"/>
              </w:rPr>
            </w:pP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19,527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40" w:type="dxa"/>
            <w:vAlign w:val="bottom"/>
          </w:tcPr>
          <w:p>
            <w:pPr>
              <w:spacing w:after="0"/>
              <w:rPr>
                <w:sz w:val="20"/>
                <w:szCs w:val="20"/>
                <w:color w:val="auto"/>
              </w:rPr>
            </w:pPr>
            <w:r>
              <w:rPr>
                <w:rFonts w:ascii="Arial" w:cs="Arial" w:eastAsia="Arial" w:hAnsi="Arial"/>
                <w:sz w:val="15"/>
                <w:szCs w:val="15"/>
                <w:color w:val="auto"/>
              </w:rPr>
              <w:t>Loss on sale of discontinued operations</w:t>
            </w:r>
          </w:p>
        </w:tc>
        <w:tc>
          <w:tcPr>
            <w:tcW w:w="3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29"/>
              <w:spacing w:after="0"/>
              <w:rPr>
                <w:sz w:val="20"/>
                <w:szCs w:val="20"/>
                <w:color w:val="auto"/>
              </w:rPr>
            </w:pPr>
            <w:r>
              <w:rPr>
                <w:rFonts w:ascii="Arial" w:cs="Arial" w:eastAsia="Arial" w:hAnsi="Arial"/>
                <w:sz w:val="15"/>
                <w:szCs w:val="15"/>
                <w:b w:val="1"/>
                <w:bCs w:val="1"/>
                <w:color w:val="auto"/>
              </w:rPr>
              <w:t>(70)</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Arial" w:cs="Arial" w:eastAsia="Arial" w:hAnsi="Arial"/>
                <w:sz w:val="15"/>
                <w:szCs w:val="15"/>
                <w:color w:val="auto"/>
              </w:rPr>
              <w:t>Benefit from income taxes on sale of discontinued operations</w:t>
            </w: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(24)</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40" w:type="dxa"/>
            <w:vAlign w:val="bottom"/>
          </w:tcPr>
          <w:p>
            <w:pPr>
              <w:spacing w:after="0" w:line="167" w:lineRule="exact"/>
              <w:rPr>
                <w:sz w:val="20"/>
                <w:szCs w:val="20"/>
                <w:color w:val="auto"/>
              </w:rPr>
            </w:pPr>
            <w:r>
              <w:rPr>
                <w:rFonts w:ascii="Arial" w:cs="Arial" w:eastAsia="Arial" w:hAnsi="Arial"/>
                <w:sz w:val="15"/>
                <w:szCs w:val="15"/>
                <w:b w:val="1"/>
                <w:bCs w:val="1"/>
                <w:color w:val="auto"/>
              </w:rPr>
              <w:t>(Loss) Income from Discontinued Operations, Net of Tax</w:t>
            </w:r>
          </w:p>
        </w:tc>
        <w:tc>
          <w:tcPr>
            <w:tcW w:w="3640" w:type="dxa"/>
            <w:vAlign w:val="bottom"/>
          </w:tcPr>
          <w:p>
            <w:pPr>
              <w:spacing w:after="0"/>
              <w:rPr>
                <w:sz w:val="14"/>
                <w:szCs w:val="14"/>
                <w:color w:val="auto"/>
              </w:rPr>
            </w:pP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29"/>
              <w:spacing w:after="0" w:line="167" w:lineRule="exact"/>
              <w:rPr>
                <w:sz w:val="20"/>
                <w:szCs w:val="20"/>
                <w:color w:val="auto"/>
              </w:rPr>
            </w:pPr>
            <w:r>
              <w:rPr>
                <w:rFonts w:ascii="Arial" w:cs="Arial" w:eastAsia="Arial" w:hAnsi="Arial"/>
                <w:sz w:val="15"/>
                <w:szCs w:val="15"/>
                <w:b w:val="1"/>
                <w:bCs w:val="1"/>
                <w:color w:val="auto"/>
              </w:rPr>
              <w:t>(1,386)</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17,588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640" w:type="dxa"/>
            <w:vAlign w:val="bottom"/>
            <w:vMerge w:val="restart"/>
          </w:tcPr>
          <w:p>
            <w:pPr>
              <w:jc w:val="right"/>
              <w:ind w:right="2641"/>
              <w:spacing w:after="0"/>
              <w:rPr>
                <w:sz w:val="20"/>
                <w:szCs w:val="20"/>
                <w:color w:val="auto"/>
              </w:rPr>
            </w:pPr>
            <w:r>
              <w:rPr>
                <w:rFonts w:ascii="Arial" w:cs="Arial" w:eastAsia="Arial" w:hAnsi="Arial"/>
                <w:sz w:val="17"/>
                <w:szCs w:val="17"/>
                <w:color w:val="auto"/>
              </w:rPr>
              <w:t>6</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8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4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789" w:right="19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right="360"/>
        <w:spacing w:after="0" w:line="235" w:lineRule="auto"/>
        <w:rPr>
          <w:sz w:val="20"/>
          <w:szCs w:val="20"/>
          <w:color w:val="auto"/>
        </w:rPr>
      </w:pPr>
      <w:r>
        <w:rPr>
          <w:rFonts w:ascii="Arial" w:cs="Arial" w:eastAsia="Arial" w:hAnsi="Arial"/>
          <w:sz w:val="17"/>
          <w:szCs w:val="17"/>
          <w:color w:val="auto"/>
        </w:rPr>
        <w:t>The following table summarizes the 2012 quarterly operating results of the Company following the reclassification of the operations discussed above as discontinued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446"/>
              <w:spacing w:after="0"/>
              <w:rPr>
                <w:sz w:val="20"/>
                <w:szCs w:val="20"/>
                <w:color w:val="auto"/>
              </w:rPr>
            </w:pPr>
            <w:r>
              <w:rPr>
                <w:rFonts w:ascii="Arial" w:cs="Arial" w:eastAsia="Arial" w:hAnsi="Arial"/>
                <w:sz w:val="12"/>
                <w:szCs w:val="12"/>
                <w:color w:val="auto"/>
              </w:rPr>
              <w:t>March 31,</w:t>
            </w:r>
          </w:p>
        </w:tc>
        <w:tc>
          <w:tcPr>
            <w:tcW w:w="340" w:type="dxa"/>
            <w:vAlign w:val="bottom"/>
          </w:tcPr>
          <w:p>
            <w:pPr>
              <w:spacing w:after="0"/>
              <w:rPr>
                <w:sz w:val="12"/>
                <w:szCs w:val="12"/>
                <w:color w:val="auto"/>
              </w:rPr>
            </w:pPr>
          </w:p>
        </w:tc>
        <w:tc>
          <w:tcPr>
            <w:tcW w:w="1140" w:type="dxa"/>
            <w:vAlign w:val="bottom"/>
          </w:tcPr>
          <w:p>
            <w:pPr>
              <w:jc w:val="right"/>
              <w:ind w:right="466"/>
              <w:spacing w:after="0"/>
              <w:rPr>
                <w:sz w:val="20"/>
                <w:szCs w:val="20"/>
                <w:color w:val="auto"/>
              </w:rPr>
            </w:pPr>
            <w:r>
              <w:rPr>
                <w:rFonts w:ascii="Arial" w:cs="Arial" w:eastAsia="Arial" w:hAnsi="Arial"/>
                <w:sz w:val="12"/>
                <w:szCs w:val="12"/>
                <w:color w:val="auto"/>
              </w:rPr>
              <w:t>June 30,</w:t>
            </w:r>
          </w:p>
        </w:tc>
        <w:tc>
          <w:tcPr>
            <w:tcW w:w="260" w:type="dxa"/>
            <w:vAlign w:val="bottom"/>
          </w:tcPr>
          <w:p>
            <w:pPr>
              <w:spacing w:after="0"/>
              <w:rPr>
                <w:sz w:val="12"/>
                <w:szCs w:val="12"/>
                <w:color w:val="auto"/>
              </w:rPr>
            </w:pPr>
          </w:p>
        </w:tc>
        <w:tc>
          <w:tcPr>
            <w:tcW w:w="1220" w:type="dxa"/>
            <w:vAlign w:val="bottom"/>
          </w:tcPr>
          <w:p>
            <w:pPr>
              <w:jc w:val="right"/>
              <w:ind w:right="306"/>
              <w:spacing w:after="0"/>
              <w:rPr>
                <w:sz w:val="20"/>
                <w:szCs w:val="20"/>
                <w:color w:val="auto"/>
              </w:rPr>
            </w:pPr>
            <w:r>
              <w:rPr>
                <w:rFonts w:ascii="Arial" w:cs="Arial" w:eastAsia="Arial" w:hAnsi="Arial"/>
                <w:sz w:val="12"/>
                <w:szCs w:val="12"/>
                <w:color w:val="auto"/>
              </w:rPr>
              <w:t>September 30,</w:t>
            </w:r>
          </w:p>
        </w:tc>
        <w:tc>
          <w:tcPr>
            <w:tcW w:w="240" w:type="dxa"/>
            <w:vAlign w:val="bottom"/>
          </w:tcPr>
          <w:p>
            <w:pPr>
              <w:spacing w:after="0"/>
              <w:rPr>
                <w:sz w:val="12"/>
                <w:szCs w:val="12"/>
                <w:color w:val="auto"/>
              </w:rPr>
            </w:pPr>
          </w:p>
        </w:tc>
        <w:tc>
          <w:tcPr>
            <w:tcW w:w="1000" w:type="dxa"/>
            <w:vAlign w:val="bottom"/>
          </w:tcPr>
          <w:p>
            <w:pPr>
              <w:jc w:val="right"/>
              <w:ind w:right="146"/>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2012</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2012</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2012</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546,685</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551,774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551,696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546,341</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Advertising</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167,558</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186,486</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191,779</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225,624</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Circulation and subscriber</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213,677</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217,747</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219,137</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220,732</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27,581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33,096</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42,582</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53,127</w:t>
            </w: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955,501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989,103</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1,005,194</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1,045,824</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460,300</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461,788</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480,731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463,626</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408,106</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397,465</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380,214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397,280</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Depreciation of property, plant and equipment</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61,924</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62,401</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63,397</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79,593</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3,873</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4,428</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5,091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7,610</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Impairment of goodwill and other long-lived assets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111,593</w:t>
            </w: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934,203</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926,082</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929,433</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1,059,702</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66"/>
              <w:spacing w:after="0" w:line="168" w:lineRule="exact"/>
              <w:rPr>
                <w:sz w:val="20"/>
                <w:szCs w:val="20"/>
                <w:color w:val="auto"/>
              </w:rPr>
            </w:pPr>
            <w:r>
              <w:rPr>
                <w:rFonts w:ascii="Arial" w:cs="Arial" w:eastAsia="Arial" w:hAnsi="Arial"/>
                <w:sz w:val="15"/>
                <w:szCs w:val="15"/>
                <w:color w:val="auto"/>
              </w:rPr>
              <w:t>21,298</w:t>
            </w:r>
          </w:p>
        </w:tc>
        <w:tc>
          <w:tcPr>
            <w:tcW w:w="340" w:type="dxa"/>
            <w:vAlign w:val="bottom"/>
          </w:tcPr>
          <w:p>
            <w:pPr>
              <w:spacing w:after="0"/>
              <w:rPr>
                <w:sz w:val="14"/>
                <w:szCs w:val="14"/>
                <w:color w:val="auto"/>
              </w:rPr>
            </w:pPr>
          </w:p>
        </w:tc>
        <w:tc>
          <w:tcPr>
            <w:tcW w:w="1140" w:type="dxa"/>
            <w:vAlign w:val="bottom"/>
          </w:tcPr>
          <w:p>
            <w:pPr>
              <w:jc w:val="right"/>
              <w:ind w:right="66"/>
              <w:spacing w:after="0" w:line="168" w:lineRule="exact"/>
              <w:rPr>
                <w:sz w:val="20"/>
                <w:szCs w:val="20"/>
                <w:color w:val="auto"/>
              </w:rPr>
            </w:pPr>
            <w:r>
              <w:rPr>
                <w:rFonts w:ascii="Arial" w:cs="Arial" w:eastAsia="Arial" w:hAnsi="Arial"/>
                <w:sz w:val="15"/>
                <w:szCs w:val="15"/>
                <w:color w:val="auto"/>
              </w:rPr>
              <w:t>63,021</w:t>
            </w:r>
          </w:p>
        </w:tc>
        <w:tc>
          <w:tcPr>
            <w:tcW w:w="260" w:type="dxa"/>
            <w:vAlign w:val="bottom"/>
          </w:tcPr>
          <w:p>
            <w:pPr>
              <w:spacing w:after="0"/>
              <w:rPr>
                <w:sz w:val="14"/>
                <w:szCs w:val="14"/>
                <w:color w:val="auto"/>
              </w:rPr>
            </w:pPr>
          </w:p>
        </w:tc>
        <w:tc>
          <w:tcPr>
            <w:tcW w:w="1220" w:type="dxa"/>
            <w:vAlign w:val="bottom"/>
          </w:tcPr>
          <w:p>
            <w:pPr>
              <w:jc w:val="right"/>
              <w:ind w:right="66"/>
              <w:spacing w:after="0" w:line="168" w:lineRule="exact"/>
              <w:rPr>
                <w:sz w:val="20"/>
                <w:szCs w:val="20"/>
                <w:color w:val="auto"/>
              </w:rPr>
            </w:pPr>
            <w:r>
              <w:rPr>
                <w:rFonts w:ascii="Arial" w:cs="Arial" w:eastAsia="Arial" w:hAnsi="Arial"/>
                <w:sz w:val="15"/>
                <w:szCs w:val="15"/>
                <w:color w:val="auto"/>
              </w:rPr>
              <w:t>75,761</w:t>
            </w:r>
          </w:p>
        </w:tc>
        <w:tc>
          <w:tcPr>
            <w:tcW w:w="2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color w:val="auto"/>
              </w:rPr>
              <w:t>(13,878)</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Equity in earnings of affiliates, net</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3,888</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3,314</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4,099</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2,785</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1,069</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775</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648</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(9,163)</w:t>
            </w:r>
          </w:p>
        </w:tc>
        <w:tc>
          <w:tcPr>
            <w:tcW w:w="34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(8,979)</w:t>
            </w:r>
          </w:p>
        </w:tc>
        <w:tc>
          <w:tcPr>
            <w:tcW w:w="260" w:type="dxa"/>
            <w:vAlign w:val="bottom"/>
          </w:tcPr>
          <w:p>
            <w:pPr>
              <w:spacing w:after="0"/>
              <w:rPr>
                <w:sz w:val="15"/>
                <w:szCs w:val="15"/>
                <w:color w:val="auto"/>
              </w:rPr>
            </w:pP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(8,738)</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8,588</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(635)</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4,163</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(17,572)</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 before Income Taxes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25,680</w:t>
            </w:r>
          </w:p>
        </w:tc>
        <w:tc>
          <w:tcPr>
            <w:tcW w:w="340" w:type="dxa"/>
            <w:vAlign w:val="bottom"/>
          </w:tcPr>
          <w:p>
            <w:pPr>
              <w:spacing w:after="0"/>
              <w:rPr>
                <w:sz w:val="13"/>
                <w:szCs w:val="13"/>
                <w:color w:val="auto"/>
              </w:rPr>
            </w:pPr>
          </w:p>
        </w:tc>
        <w:tc>
          <w:tcPr>
            <w:tcW w:w="11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57,496</w:t>
            </w:r>
          </w:p>
        </w:tc>
        <w:tc>
          <w:tcPr>
            <w:tcW w:w="260" w:type="dxa"/>
            <w:vAlign w:val="bottom"/>
          </w:tcPr>
          <w:p>
            <w:pPr>
              <w:spacing w:after="0"/>
              <w:rPr>
                <w:sz w:val="13"/>
                <w:szCs w:val="13"/>
                <w:color w:val="auto"/>
              </w:rPr>
            </w:pPr>
          </w:p>
        </w:tc>
        <w:tc>
          <w:tcPr>
            <w:tcW w:w="12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75,933</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(36,828)</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11,700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21,200</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31,100</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8,200</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13,980</w:t>
            </w:r>
          </w:p>
        </w:tc>
        <w:tc>
          <w:tcPr>
            <w:tcW w:w="340" w:type="dxa"/>
            <w:vAlign w:val="bottom"/>
          </w:tcPr>
          <w:p>
            <w:pPr>
              <w:spacing w:after="0"/>
              <w:rPr>
                <w:sz w:val="13"/>
                <w:szCs w:val="13"/>
                <w:color w:val="auto"/>
              </w:rPr>
            </w:pPr>
          </w:p>
        </w:tc>
        <w:tc>
          <w:tcPr>
            <w:tcW w:w="11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36,296</w:t>
            </w:r>
          </w:p>
        </w:tc>
        <w:tc>
          <w:tcPr>
            <w:tcW w:w="260" w:type="dxa"/>
            <w:vAlign w:val="bottom"/>
          </w:tcPr>
          <w:p>
            <w:pPr>
              <w:spacing w:after="0"/>
              <w:rPr>
                <w:sz w:val="13"/>
                <w:szCs w:val="13"/>
                <w:color w:val="auto"/>
              </w:rPr>
            </w:pPr>
          </w:p>
        </w:tc>
        <w:tc>
          <w:tcPr>
            <w:tcW w:w="12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44,833</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(45,028)</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Income (Loss) from Discontinued Operations, Net of Tax</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17,588</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15,751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49,114</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31,568</w:t>
            </w:r>
          </w:p>
        </w:tc>
        <w:tc>
          <w:tcPr>
            <w:tcW w:w="340" w:type="dxa"/>
            <w:vAlign w:val="bottom"/>
          </w:tcPr>
          <w:p>
            <w:pPr>
              <w:spacing w:after="0"/>
              <w:rPr>
                <w:sz w:val="13"/>
                <w:szCs w:val="13"/>
                <w:color w:val="auto"/>
              </w:rPr>
            </w:pPr>
          </w:p>
        </w:tc>
        <w:tc>
          <w:tcPr>
            <w:tcW w:w="11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52,047</w:t>
            </w:r>
          </w:p>
        </w:tc>
        <w:tc>
          <w:tcPr>
            <w:tcW w:w="260" w:type="dxa"/>
            <w:vAlign w:val="bottom"/>
          </w:tcPr>
          <w:p>
            <w:pPr>
              <w:spacing w:after="0"/>
              <w:rPr>
                <w:sz w:val="13"/>
                <w:szCs w:val="13"/>
                <w:color w:val="auto"/>
              </w:rPr>
            </w:pPr>
          </w:p>
        </w:tc>
        <w:tc>
          <w:tcPr>
            <w:tcW w:w="12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93,947</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(45,375)</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71</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31,498</w:t>
            </w:r>
          </w:p>
        </w:tc>
        <w:tc>
          <w:tcPr>
            <w:tcW w:w="340" w:type="dxa"/>
            <w:vAlign w:val="bottom"/>
          </w:tcPr>
          <w:p>
            <w:pPr>
              <w:spacing w:after="0"/>
              <w:rPr>
                <w:sz w:val="13"/>
                <w:szCs w:val="13"/>
                <w:color w:val="auto"/>
              </w:rPr>
            </w:pPr>
          </w:p>
        </w:tc>
        <w:tc>
          <w:tcPr>
            <w:tcW w:w="11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52,036</w:t>
            </w:r>
          </w:p>
        </w:tc>
        <w:tc>
          <w:tcPr>
            <w:tcW w:w="260" w:type="dxa"/>
            <w:vAlign w:val="bottom"/>
          </w:tcPr>
          <w:p>
            <w:pPr>
              <w:spacing w:after="0"/>
              <w:rPr>
                <w:sz w:val="13"/>
                <w:szCs w:val="13"/>
                <w:color w:val="auto"/>
              </w:rPr>
            </w:pPr>
          </w:p>
        </w:tc>
        <w:tc>
          <w:tcPr>
            <w:tcW w:w="12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94,018</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(45,439)</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(451)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(222)</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31,047</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51,814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93,796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(45,439)</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Income (loss) from continuing operations</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13,459</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36,063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44,682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(45,092)</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Income (loss) from discontinued operations, net of tax</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17,588</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15,751</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49,114</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Arial" w:cs="Arial" w:eastAsia="Arial" w:hAnsi="Arial"/>
                <w:sz w:val="15"/>
                <w:szCs w:val="15"/>
                <w:color w:val="auto"/>
              </w:rPr>
              <w:t>Net income (loss) attributable to the Washington Post</w:t>
            </w: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6"/>
              <w:spacing w:after="0"/>
              <w:rPr>
                <w:sz w:val="20"/>
                <w:szCs w:val="20"/>
                <w:color w:val="auto"/>
              </w:rPr>
            </w:pPr>
            <w:r>
              <w:rPr>
                <w:rFonts w:ascii="Arial" w:cs="Arial" w:eastAsia="Arial" w:hAnsi="Arial"/>
                <w:sz w:val="15"/>
                <w:szCs w:val="15"/>
                <w:color w:val="auto"/>
              </w:rPr>
              <w:t>31,047</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66"/>
              <w:spacing w:after="0"/>
              <w:rPr>
                <w:sz w:val="20"/>
                <w:szCs w:val="20"/>
                <w:color w:val="auto"/>
              </w:rPr>
            </w:pPr>
            <w:r>
              <w:rPr>
                <w:rFonts w:ascii="Arial" w:cs="Arial" w:eastAsia="Arial" w:hAnsi="Arial"/>
                <w:sz w:val="15"/>
                <w:szCs w:val="15"/>
                <w:color w:val="auto"/>
              </w:rPr>
              <w:t>51,814</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ind w:right="66"/>
              <w:spacing w:after="0"/>
              <w:rPr>
                <w:sz w:val="20"/>
                <w:szCs w:val="20"/>
                <w:color w:val="auto"/>
              </w:rPr>
            </w:pPr>
            <w:r>
              <w:rPr>
                <w:rFonts w:ascii="Arial" w:cs="Arial" w:eastAsia="Arial" w:hAnsi="Arial"/>
                <w:sz w:val="15"/>
                <w:szCs w:val="15"/>
                <w:color w:val="auto"/>
              </w:rPr>
              <w:t>93,796</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(45,439)</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line="167" w:lineRule="exact"/>
              <w:rPr>
                <w:sz w:val="20"/>
                <w:szCs w:val="20"/>
                <w:color w:val="auto"/>
              </w:rPr>
            </w:pPr>
            <w:r>
              <w:rPr>
                <w:rFonts w:ascii="Arial" w:cs="Arial" w:eastAsia="Arial" w:hAnsi="Arial"/>
                <w:sz w:val="15"/>
                <w:szCs w:val="15"/>
                <w:color w:val="auto"/>
              </w:rPr>
              <w:t>Company common stockholders</w:t>
            </w:r>
          </w:p>
        </w:tc>
        <w:tc>
          <w:tcPr>
            <w:tcW w:w="3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Company Common Stockholders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Basic income (loss) per common share from continuing operations</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1.72</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4.76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6"/>
              <w:spacing w:after="0"/>
              <w:rPr>
                <w:sz w:val="20"/>
                <w:szCs w:val="20"/>
                <w:color w:val="auto"/>
              </w:rPr>
            </w:pPr>
            <w:r>
              <w:rPr>
                <w:rFonts w:ascii="Arial" w:cs="Arial" w:eastAsia="Arial" w:hAnsi="Arial"/>
                <w:sz w:val="15"/>
                <w:szCs w:val="15"/>
                <w:color w:val="auto"/>
              </w:rPr>
              <w:t>6.02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(6.52)</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Basic income (loss) per common share from discontinued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2.35</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2.08</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6.62</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Basic net income (loss) per common share</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6.84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12.64</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Diluted income (loss) per common share from continuing operations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320" w:type="dxa"/>
            <w:vAlign w:val="bottom"/>
          </w:tcPr>
          <w:p>
            <w:pPr>
              <w:jc w:val="right"/>
              <w:ind w:right="6"/>
              <w:spacing w:after="0" w:line="15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line="153" w:lineRule="exact"/>
              <w:rPr>
                <w:sz w:val="20"/>
                <w:szCs w:val="20"/>
                <w:color w:val="auto"/>
              </w:rPr>
            </w:pPr>
            <w:r>
              <w:rPr>
                <w:rFonts w:ascii="Arial" w:cs="Arial" w:eastAsia="Arial" w:hAnsi="Arial"/>
                <w:sz w:val="15"/>
                <w:szCs w:val="15"/>
                <w:color w:val="auto"/>
              </w:rPr>
              <w:t>1.72</w:t>
            </w:r>
          </w:p>
        </w:tc>
        <w:tc>
          <w:tcPr>
            <w:tcW w:w="340" w:type="dxa"/>
            <w:vAlign w:val="bottom"/>
          </w:tcPr>
          <w:p>
            <w:pPr>
              <w:jc w:val="right"/>
              <w:ind w:right="26"/>
              <w:spacing w:after="0" w:line="153"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line="153" w:lineRule="exact"/>
              <w:rPr>
                <w:sz w:val="20"/>
                <w:szCs w:val="20"/>
                <w:color w:val="auto"/>
              </w:rPr>
            </w:pPr>
            <w:r>
              <w:rPr>
                <w:rFonts w:ascii="Arial" w:cs="Arial" w:eastAsia="Arial" w:hAnsi="Arial"/>
                <w:sz w:val="15"/>
                <w:szCs w:val="15"/>
                <w:color w:val="auto"/>
              </w:rPr>
              <w:t>4.76</w:t>
            </w:r>
          </w:p>
        </w:tc>
        <w:tc>
          <w:tcPr>
            <w:tcW w:w="26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66"/>
              <w:spacing w:after="0" w:line="153" w:lineRule="exact"/>
              <w:rPr>
                <w:sz w:val="20"/>
                <w:szCs w:val="20"/>
                <w:color w:val="auto"/>
              </w:rPr>
            </w:pPr>
            <w:r>
              <w:rPr>
                <w:rFonts w:ascii="Arial" w:cs="Arial" w:eastAsia="Arial" w:hAnsi="Arial"/>
                <w:sz w:val="15"/>
                <w:szCs w:val="15"/>
                <w:color w:val="auto"/>
              </w:rPr>
              <w:t>6.02</w:t>
            </w:r>
          </w:p>
        </w:tc>
        <w:tc>
          <w:tcPr>
            <w:tcW w:w="24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3" w:lineRule="exact"/>
              <w:rPr>
                <w:sz w:val="20"/>
                <w:szCs w:val="20"/>
                <w:color w:val="auto"/>
              </w:rPr>
            </w:pPr>
            <w:r>
              <w:rPr>
                <w:rFonts w:ascii="Arial" w:cs="Arial" w:eastAsia="Arial" w:hAnsi="Arial"/>
                <w:sz w:val="15"/>
                <w:szCs w:val="15"/>
                <w:color w:val="auto"/>
              </w:rPr>
              <w:t>(6.52)</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Diluted income (loss) per common share from discontinued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2.35</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2.08</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6.62</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Diluted net income (loss) per common share</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6.84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12.64</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ind w:right="240"/>
        <w:spacing w:after="0" w:line="235" w:lineRule="auto"/>
        <w:rPr>
          <w:sz w:val="20"/>
          <w:szCs w:val="20"/>
          <w:color w:val="auto"/>
        </w:rPr>
      </w:pPr>
      <w:r>
        <w:rPr>
          <w:rFonts w:ascii="Arial" w:cs="Arial" w:eastAsia="Arial" w:hAnsi="Arial"/>
          <w:sz w:val="17"/>
          <w:szCs w:val="17"/>
          <w:color w:val="auto"/>
        </w:rPr>
        <w:t>The following table summarizes the annual operating results of the Company following the reclassification of operations discussed above as discontinued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2012</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48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2,196,496</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2,404,459</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Advertising</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771,447</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738,489</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Circulation and subscriber</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871,293</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852,891</w:t>
            </w:r>
          </w:p>
        </w:tc>
        <w:tc>
          <w:tcPr>
            <w:tcW w:w="0" w:type="dxa"/>
            <w:vAlign w:val="bottom"/>
          </w:tcPr>
          <w:p>
            <w:pPr>
              <w:spacing w:after="0"/>
              <w:rPr>
                <w:sz w:val="1"/>
                <w:szCs w:val="1"/>
                <w:color w:val="auto"/>
              </w:rPr>
            </w:pPr>
          </w:p>
        </w:tc>
      </w:tr>
      <w:tr>
        <w:trPr>
          <w:trHeight w:val="172"/>
        </w:trPr>
        <w:tc>
          <w:tcPr>
            <w:tcW w:w="8480" w:type="dxa"/>
            <w:vAlign w:val="bottom"/>
          </w:tcPr>
          <w:p>
            <w:pPr>
              <w:ind w:left="24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156,386</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113,973</w:t>
            </w:r>
          </w:p>
        </w:tc>
        <w:tc>
          <w:tcPr>
            <w:tcW w:w="0" w:type="dxa"/>
            <w:vAlign w:val="bottom"/>
          </w:tcPr>
          <w:p>
            <w:pPr>
              <w:spacing w:after="0"/>
              <w:rPr>
                <w:sz w:val="1"/>
                <w:szCs w:val="1"/>
                <w:color w:val="auto"/>
              </w:rPr>
            </w:pPr>
          </w:p>
        </w:tc>
      </w:tr>
      <w:tr>
        <w:trPr>
          <w:trHeight w:val="166"/>
        </w:trPr>
        <w:tc>
          <w:tcPr>
            <w:tcW w:w="848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3,995,622</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4,109,812</w:t>
            </w:r>
          </w:p>
        </w:tc>
        <w:tc>
          <w:tcPr>
            <w:tcW w:w="0" w:type="dxa"/>
            <w:vAlign w:val="bottom"/>
          </w:tcPr>
          <w:p>
            <w:pPr>
              <w:spacing w:after="0"/>
              <w:rPr>
                <w:sz w:val="1"/>
                <w:szCs w:val="1"/>
                <w:color w:val="auto"/>
              </w:rPr>
            </w:pPr>
          </w:p>
        </w:tc>
      </w:tr>
      <w:tr>
        <w:trPr>
          <w:trHeight w:val="168"/>
        </w:trPr>
        <w:tc>
          <w:tcPr>
            <w:tcW w:w="8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1,866,445</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1,891,888</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1,583,065</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1,617,641</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Depreciation of property, plant and equipment</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267,315</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247,650</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21,002</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22,335</w:t>
            </w:r>
          </w:p>
        </w:tc>
        <w:tc>
          <w:tcPr>
            <w:tcW w:w="0" w:type="dxa"/>
            <w:vAlign w:val="bottom"/>
          </w:tcPr>
          <w:p>
            <w:pPr>
              <w:spacing w:after="0"/>
              <w:rPr>
                <w:sz w:val="1"/>
                <w:szCs w:val="1"/>
                <w:color w:val="auto"/>
              </w:rPr>
            </w:pPr>
          </w:p>
        </w:tc>
      </w:tr>
      <w:tr>
        <w:trPr>
          <w:trHeight w:val="172"/>
        </w:trPr>
        <w:tc>
          <w:tcPr>
            <w:tcW w:w="8480" w:type="dxa"/>
            <w:vAlign w:val="bottom"/>
          </w:tcPr>
          <w:p>
            <w:pPr>
              <w:ind w:left="240"/>
              <w:spacing w:after="0"/>
              <w:rPr>
                <w:sz w:val="20"/>
                <w:szCs w:val="20"/>
                <w:color w:val="auto"/>
              </w:rPr>
            </w:pPr>
            <w:r>
              <w:rPr>
                <w:rFonts w:ascii="Arial" w:cs="Arial" w:eastAsia="Arial" w:hAnsi="Arial"/>
                <w:sz w:val="15"/>
                <w:szCs w:val="15"/>
                <w:color w:val="auto"/>
              </w:rPr>
              <w:t>Impairment of goodwill and other long-lived assets</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111,593</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48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3,849,420</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3,779,514</w:t>
            </w:r>
          </w:p>
        </w:tc>
        <w:tc>
          <w:tcPr>
            <w:tcW w:w="0" w:type="dxa"/>
            <w:vAlign w:val="bottom"/>
          </w:tcPr>
          <w:p>
            <w:pPr>
              <w:spacing w:after="0"/>
              <w:rPr>
                <w:sz w:val="1"/>
                <w:szCs w:val="1"/>
                <w:color w:val="auto"/>
              </w:rPr>
            </w:pPr>
          </w:p>
        </w:tc>
      </w:tr>
      <w:tr>
        <w:trPr>
          <w:trHeight w:val="168"/>
        </w:trPr>
        <w:tc>
          <w:tcPr>
            <w:tcW w:w="8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146,202</w:t>
            </w:r>
          </w:p>
        </w:tc>
        <w:tc>
          <w:tcPr>
            <w:tcW w:w="4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5"/>
                <w:szCs w:val="15"/>
                <w:color w:val="auto"/>
              </w:rPr>
              <w:t>330,298</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Equity in earnings of affiliates, net</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14,086</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5,949</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3,393</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4,147</w:t>
            </w:r>
          </w:p>
        </w:tc>
        <w:tc>
          <w:tcPr>
            <w:tcW w:w="0" w:type="dxa"/>
            <w:vAlign w:val="bottom"/>
          </w:tcPr>
          <w:p>
            <w:pPr>
              <w:spacing w:after="0"/>
              <w:rPr>
                <w:sz w:val="1"/>
                <w:szCs w:val="1"/>
                <w:color w:val="auto"/>
              </w:rPr>
            </w:pPr>
          </w:p>
        </w:tc>
      </w:tr>
      <w:tr>
        <w:trPr>
          <w:trHeight w:val="174"/>
        </w:trPr>
        <w:tc>
          <w:tcPr>
            <w:tcW w:w="848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(35,944)</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(33,226)</w:t>
            </w:r>
          </w:p>
        </w:tc>
        <w:tc>
          <w:tcPr>
            <w:tcW w:w="0" w:type="dxa"/>
            <w:vAlign w:val="bottom"/>
          </w:tcPr>
          <w:p>
            <w:pPr>
              <w:spacing w:after="0"/>
              <w:rPr>
                <w:sz w:val="1"/>
                <w:szCs w:val="1"/>
                <w:color w:val="auto"/>
              </w:rPr>
            </w:pPr>
          </w:p>
        </w:tc>
      </w:tr>
      <w:tr>
        <w:trPr>
          <w:trHeight w:val="172"/>
        </w:trPr>
        <w:tc>
          <w:tcPr>
            <w:tcW w:w="8480" w:type="dxa"/>
            <w:vAlign w:val="bottom"/>
          </w:tcPr>
          <w:p>
            <w:pPr>
              <w:ind w:left="240"/>
              <w:spacing w:after="0"/>
              <w:rPr>
                <w:sz w:val="20"/>
                <w:szCs w:val="20"/>
                <w:color w:val="auto"/>
              </w:rPr>
            </w:pPr>
            <w:r>
              <w:rPr>
                <w:rFonts w:ascii="Arial" w:cs="Arial" w:eastAsia="Arial" w:hAnsi="Arial"/>
                <w:sz w:val="15"/>
                <w:szCs w:val="15"/>
                <w:color w:val="auto"/>
              </w:rPr>
              <w:t>Other expense, net</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(5,456)</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(55,200)</w:t>
            </w: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Pr>
          <w:p>
            <w:pPr>
              <w:spacing w:after="0"/>
              <w:rPr>
                <w:sz w:val="13"/>
                <w:szCs w:val="13"/>
                <w:color w:val="auto"/>
              </w:rPr>
            </w:pPr>
          </w:p>
        </w:tc>
        <w:tc>
          <w:tcPr>
            <w:tcW w:w="114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122,281</w:t>
            </w:r>
          </w:p>
        </w:tc>
        <w:tc>
          <w:tcPr>
            <w:tcW w:w="44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251,968</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72,200</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103,500</w:t>
            </w: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380" w:type="dxa"/>
            <w:vAlign w:val="bottom"/>
          </w:tcPr>
          <w:p>
            <w:pPr>
              <w:spacing w:after="0"/>
              <w:rPr>
                <w:sz w:val="13"/>
                <w:szCs w:val="13"/>
                <w:color w:val="auto"/>
              </w:rPr>
            </w:pPr>
          </w:p>
        </w:tc>
        <w:tc>
          <w:tcPr>
            <w:tcW w:w="114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50,081</w:t>
            </w:r>
          </w:p>
        </w:tc>
        <w:tc>
          <w:tcPr>
            <w:tcW w:w="44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148,468</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b w:val="1"/>
                <w:bCs w:val="1"/>
                <w:color w:val="auto"/>
              </w:rPr>
              <w:t>Income (Loss) from Discontinued Operations, Net of Tax</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82,106</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(31,311)</w:t>
            </w: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w:t>
            </w:r>
          </w:p>
        </w:tc>
        <w:tc>
          <w:tcPr>
            <w:tcW w:w="380" w:type="dxa"/>
            <w:vAlign w:val="bottom"/>
          </w:tcPr>
          <w:p>
            <w:pPr>
              <w:spacing w:after="0"/>
              <w:rPr>
                <w:sz w:val="13"/>
                <w:szCs w:val="13"/>
                <w:color w:val="auto"/>
              </w:rPr>
            </w:pPr>
          </w:p>
        </w:tc>
        <w:tc>
          <w:tcPr>
            <w:tcW w:w="114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132,187</w:t>
            </w:r>
          </w:p>
        </w:tc>
        <w:tc>
          <w:tcPr>
            <w:tcW w:w="44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117,157</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b w:val="1"/>
                <w:bCs w:val="1"/>
                <w:color w:val="auto"/>
              </w:rPr>
              <w:t>Net Income Attributable to Noncontrolling Interests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(74)</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380" w:type="dxa"/>
            <w:vAlign w:val="bottom"/>
          </w:tcPr>
          <w:p>
            <w:pPr>
              <w:spacing w:after="0"/>
              <w:rPr>
                <w:sz w:val="13"/>
                <w:szCs w:val="13"/>
                <w:color w:val="auto"/>
              </w:rPr>
            </w:pPr>
          </w:p>
        </w:tc>
        <w:tc>
          <w:tcPr>
            <w:tcW w:w="114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132,113</w:t>
            </w:r>
          </w:p>
        </w:tc>
        <w:tc>
          <w:tcPr>
            <w:tcW w:w="44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117,150</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(895)</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0" w:type="dxa"/>
            <w:vAlign w:val="bottom"/>
          </w:tcPr>
          <w:p>
            <w:pPr>
              <w:spacing w:after="0"/>
              <w:rPr>
                <w:sz w:val="1"/>
                <w:szCs w:val="1"/>
                <w:color w:val="auto"/>
              </w:rPr>
            </w:pP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b w:val="1"/>
                <w:bCs w:val="1"/>
                <w:color w:val="auto"/>
              </w:rPr>
              <w:t>Net Income Attributable to The Washington Post Company Common Stockholders</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131,218</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116,233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49,112</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147,544</w:t>
            </w:r>
          </w:p>
        </w:tc>
        <w:tc>
          <w:tcPr>
            <w:tcW w:w="0" w:type="dxa"/>
            <w:vAlign w:val="bottom"/>
          </w:tcPr>
          <w:p>
            <w:pPr>
              <w:spacing w:after="0"/>
              <w:rPr>
                <w:sz w:val="1"/>
                <w:szCs w:val="1"/>
                <w:color w:val="auto"/>
              </w:rPr>
            </w:pPr>
          </w:p>
        </w:tc>
      </w:tr>
      <w:tr>
        <w:trPr>
          <w:trHeight w:val="172"/>
        </w:trPr>
        <w:tc>
          <w:tcPr>
            <w:tcW w:w="8480" w:type="dxa"/>
            <w:vAlign w:val="bottom"/>
          </w:tcPr>
          <w:p>
            <w:pPr>
              <w:spacing w:after="0"/>
              <w:rPr>
                <w:sz w:val="20"/>
                <w:szCs w:val="20"/>
                <w:color w:val="auto"/>
              </w:rPr>
            </w:pPr>
            <w:r>
              <w:rPr>
                <w:rFonts w:ascii="Arial" w:cs="Arial" w:eastAsia="Arial" w:hAnsi="Arial"/>
                <w:sz w:val="15"/>
                <w:szCs w:val="15"/>
                <w:color w:val="auto"/>
              </w:rPr>
              <w:t>Income (loss) from discontinued operations, net of tax</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82,106</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(31,311)</w:t>
            </w:r>
          </w:p>
        </w:tc>
        <w:tc>
          <w:tcPr>
            <w:tcW w:w="0" w:type="dxa"/>
            <w:vAlign w:val="bottom"/>
          </w:tcPr>
          <w:p>
            <w:pPr>
              <w:spacing w:after="0"/>
              <w:rPr>
                <w:sz w:val="1"/>
                <w:szCs w:val="1"/>
                <w:color w:val="auto"/>
              </w:rPr>
            </w:pP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color w:val="auto"/>
              </w:rPr>
              <w:t>Net income attributable to the Washington Post Company common stockholders</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131,218</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116,233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Arial" w:cs="Arial" w:eastAsia="Arial" w:hAnsi="Arial"/>
                <w:sz w:val="15"/>
                <w:szCs w:val="15"/>
                <w:b w:val="1"/>
                <w:bCs w:val="1"/>
                <w:color w:val="auto"/>
              </w:rPr>
              <w:t>Stockholders</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6.23</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172"/>
        </w:trPr>
        <w:tc>
          <w:tcPr>
            <w:tcW w:w="8480" w:type="dxa"/>
            <w:vAlign w:val="bottom"/>
          </w:tcPr>
          <w:p>
            <w:pPr>
              <w:spacing w:after="0"/>
              <w:rPr>
                <w:sz w:val="20"/>
                <w:szCs w:val="20"/>
                <w:color w:val="auto"/>
              </w:rPr>
            </w:pPr>
            <w:r>
              <w:rPr>
                <w:rFonts w:ascii="Arial" w:cs="Arial" w:eastAsia="Arial" w:hAnsi="Arial"/>
                <w:sz w:val="15"/>
                <w:szCs w:val="15"/>
                <w:color w:val="auto"/>
              </w:rPr>
              <w:t>Basic income (loss) per common share from discontinued operations</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11.16</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17.39</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14.70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80" w:type="dxa"/>
            <w:vAlign w:val="bottom"/>
            <w:vMerge w:val="continue"/>
          </w:tcPr>
          <w:p>
            <w:pPr>
              <w:spacing w:after="0"/>
              <w:rPr>
                <w:sz w:val="13"/>
                <w:szCs w:val="13"/>
                <w:color w:val="auto"/>
              </w:rPr>
            </w:pPr>
          </w:p>
        </w:tc>
        <w:tc>
          <w:tcPr>
            <w:tcW w:w="380" w:type="dxa"/>
            <w:vAlign w:val="bottom"/>
          </w:tcPr>
          <w:p>
            <w:pPr>
              <w:jc w:val="right"/>
              <w:ind w:right="86"/>
              <w:spacing w:after="0" w:line="153"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line="153" w:lineRule="exact"/>
              <w:rPr>
                <w:sz w:val="20"/>
                <w:szCs w:val="20"/>
                <w:color w:val="auto"/>
              </w:rPr>
            </w:pPr>
            <w:r>
              <w:rPr>
                <w:rFonts w:ascii="Arial" w:cs="Arial" w:eastAsia="Arial" w:hAnsi="Arial"/>
                <w:sz w:val="15"/>
                <w:szCs w:val="15"/>
                <w:color w:val="auto"/>
              </w:rPr>
              <w:t>6.23</w:t>
            </w:r>
          </w:p>
        </w:tc>
        <w:tc>
          <w:tcPr>
            <w:tcW w:w="440" w:type="dxa"/>
            <w:vAlign w:val="bottom"/>
          </w:tcPr>
          <w:p>
            <w:pPr>
              <w:jc w:val="right"/>
              <w:ind w:right="86"/>
              <w:spacing w:after="0" w:line="153"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172"/>
        </w:trPr>
        <w:tc>
          <w:tcPr>
            <w:tcW w:w="8480" w:type="dxa"/>
            <w:vAlign w:val="bottom"/>
          </w:tcPr>
          <w:p>
            <w:pPr>
              <w:spacing w:after="0"/>
              <w:rPr>
                <w:sz w:val="20"/>
                <w:szCs w:val="20"/>
                <w:color w:val="auto"/>
              </w:rPr>
            </w:pPr>
            <w:r>
              <w:rPr>
                <w:rFonts w:ascii="Arial" w:cs="Arial" w:eastAsia="Arial" w:hAnsi="Arial"/>
                <w:sz w:val="15"/>
                <w:szCs w:val="15"/>
                <w:color w:val="auto"/>
              </w:rPr>
              <w:t>Diluted income (loss) per common share from discontinued operations</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11.16</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17.39</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comprised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14"/>
        </w:trPr>
        <w:tc>
          <w:tcPr>
            <w:tcW w:w="8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right"/>
              <w:ind w:right="652"/>
              <w:spacing w:after="0" w:line="114" w:lineRule="exact"/>
              <w:rPr>
                <w:sz w:val="20"/>
                <w:szCs w:val="20"/>
                <w:color w:val="auto"/>
              </w:rPr>
            </w:pPr>
            <w:r>
              <w:rPr>
                <w:rFonts w:ascii="Arial" w:cs="Arial" w:eastAsia="Arial" w:hAnsi="Arial"/>
                <w:sz w:val="12"/>
                <w:szCs w:val="12"/>
                <w:b w:val="1"/>
                <w:bCs w:val="1"/>
                <w:color w:val="auto"/>
              </w:rPr>
              <w:t>March 31,</w:t>
            </w:r>
          </w:p>
        </w:tc>
        <w:tc>
          <w:tcPr>
            <w:tcW w:w="160" w:type="dxa"/>
            <w:vAlign w:val="bottom"/>
          </w:tcPr>
          <w:p>
            <w:pPr>
              <w:spacing w:after="0"/>
              <w:rPr>
                <w:sz w:val="9"/>
                <w:szCs w:val="9"/>
                <w:color w:val="auto"/>
              </w:rPr>
            </w:pPr>
          </w:p>
        </w:tc>
        <w:tc>
          <w:tcPr>
            <w:tcW w:w="1100" w:type="dxa"/>
            <w:vAlign w:val="bottom"/>
          </w:tcPr>
          <w:p>
            <w:pPr>
              <w:jc w:val="right"/>
              <w:ind w:right="211"/>
              <w:spacing w:after="0" w:line="114" w:lineRule="exact"/>
              <w:rPr>
                <w:sz w:val="20"/>
                <w:szCs w:val="20"/>
                <w:color w:val="auto"/>
              </w:rPr>
            </w:pPr>
            <w:r>
              <w:rPr>
                <w:rFonts w:ascii="Arial" w:cs="Arial" w:eastAsia="Arial" w:hAnsi="Arial"/>
                <w:sz w:val="12"/>
                <w:szCs w:val="12"/>
                <w:color w:val="auto"/>
              </w:rPr>
              <w:t>December 31,</w:t>
            </w:r>
          </w:p>
        </w:tc>
      </w:tr>
      <w:tr>
        <w:trPr>
          <w:trHeight w:val="151"/>
        </w:trPr>
        <w:tc>
          <w:tcPr>
            <w:tcW w:w="8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12"/>
              <w:spacing w:after="0"/>
              <w:rPr>
                <w:sz w:val="20"/>
                <w:szCs w:val="20"/>
                <w:color w:val="auto"/>
              </w:rPr>
            </w:pPr>
            <w:r>
              <w:rPr>
                <w:rFonts w:ascii="Arial" w:cs="Arial" w:eastAsia="Arial" w:hAnsi="Arial"/>
                <w:sz w:val="12"/>
                <w:szCs w:val="12"/>
                <w:b w:val="1"/>
                <w:bCs w:val="1"/>
                <w:color w:val="auto"/>
              </w:rPr>
              <w:t>2013</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color w:val="auto"/>
              </w:rPr>
              <w:t>2012</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30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w:t>
            </w:r>
          </w:p>
        </w:tc>
        <w:tc>
          <w:tcPr>
            <w:tcW w:w="1380" w:type="dxa"/>
            <w:vAlign w:val="bottom"/>
          </w:tcPr>
          <w:p>
            <w:pPr>
              <w:jc w:val="right"/>
              <w:ind w:right="292"/>
              <w:spacing w:after="0" w:line="150" w:lineRule="exact"/>
              <w:rPr>
                <w:sz w:val="20"/>
                <w:szCs w:val="20"/>
                <w:color w:val="auto"/>
              </w:rPr>
            </w:pPr>
            <w:r>
              <w:rPr>
                <w:rFonts w:ascii="Arial" w:cs="Arial" w:eastAsia="Arial" w:hAnsi="Arial"/>
                <w:sz w:val="15"/>
                <w:szCs w:val="15"/>
                <w:b w:val="1"/>
                <w:bCs w:val="1"/>
                <w:color w:val="auto"/>
              </w:rPr>
              <w:t>194,319</w:t>
            </w:r>
          </w:p>
        </w:tc>
        <w:tc>
          <w:tcPr>
            <w:tcW w:w="16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195,832</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Net unrealized gains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2"/>
              <w:spacing w:after="0"/>
              <w:rPr>
                <w:sz w:val="20"/>
                <w:szCs w:val="20"/>
                <w:color w:val="auto"/>
              </w:rPr>
            </w:pPr>
            <w:r>
              <w:rPr>
                <w:rFonts w:ascii="Arial" w:cs="Arial" w:eastAsia="Arial" w:hAnsi="Arial"/>
                <w:sz w:val="15"/>
                <w:szCs w:val="15"/>
                <w:b w:val="1"/>
                <w:bCs w:val="1"/>
                <w:color w:val="auto"/>
              </w:rPr>
              <w:t>232,782</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184,255</w:t>
            </w: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b w:val="1"/>
                <w:bCs w:val="1"/>
                <w:color w:val="auto"/>
              </w:rPr>
              <w:t>Total Fair Value</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292"/>
              <w:spacing w:after="0" w:line="167" w:lineRule="exact"/>
              <w:rPr>
                <w:sz w:val="20"/>
                <w:szCs w:val="20"/>
                <w:color w:val="auto"/>
              </w:rPr>
            </w:pPr>
            <w:r>
              <w:rPr>
                <w:rFonts w:ascii="Arial" w:cs="Arial" w:eastAsia="Arial" w:hAnsi="Arial"/>
                <w:sz w:val="15"/>
                <w:szCs w:val="15"/>
                <w:b w:val="1"/>
                <w:bCs w:val="1"/>
                <w:color w:val="auto"/>
              </w:rPr>
              <w:t>427,101</w:t>
            </w: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380,087</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There were no new investments in marketable equity securities during the first quarter of 2013. The Company made $ 30.0 million in investments in marketable equity securities during the first quarter of 2012, of which $7.7 million was settled in April 2012. During the first quarter of 2013, the proceeds from sales of marketable equity securities were $2.1 million, and net realized gains on such sales were $0.6 million. There were no sales of marketable equity securities in the first quarter of 2012.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11" w:name="page12"/>
    <w:bookmarkEnd w:id="11"/>
    <w:p>
      <w:pPr>
        <w:ind w:right="20"/>
        <w:spacing w:after="0" w:line="230" w:lineRule="auto"/>
        <w:rPr>
          <w:sz w:val="20"/>
          <w:szCs w:val="20"/>
          <w:color w:val="auto"/>
        </w:rPr>
      </w:pPr>
      <w:r>
        <w:rPr>
          <w:rFonts w:ascii="Arial" w:cs="Arial" w:eastAsia="Arial" w:hAnsi="Arial"/>
          <w:sz w:val="17"/>
          <w:szCs w:val="17"/>
          <w:color w:val="auto"/>
        </w:rPr>
        <w:t>As of March 31, 2013, the Company has a $3.7 million unrealized loss on its investment in Strayer Education, Inc., a publicly traded company. At March 31, 2013, the investment has been in an unrealized loss position for under three months. The Company evaluated this investment for other-than-temporary impairment based on various factors, including the duration and severity of the unrealized loss, the reason for the decline in value and the potential recovery period, and the ability and intent to hold the investment and concluded that the unrealized loss is not other-than-temporary as of March 31, 2013. If any impairment is considered other-than-temporary, the investment will be written down to its fair market value with a corresponding charge to the Consolidated Statement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DISPOSITIONS</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the first quarter of 2013, the Company acquired one small business included in other businesses; the purchase price allocation mostly comprised goodwill and other intangible assets on a preliminary basis. In the first quarter of 2012, Kaplan acquired two small businesses in its International division; the purchase price allocation mostly comprised goodwill and other intangible assets. The assets and liabilities of the companies acquired have been recorded at their estimated fair values at the date of acquisition.</w:t>
      </w:r>
    </w:p>
    <w:p>
      <w:pPr>
        <w:spacing w:after="0" w:line="17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The Herald was previously reported in the newspaper publishing segment. Kaplan completed the sale of Kaplan Learning Technologies in February 2012, which was part of the Kaplan Ventures division.</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97"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Amortization of intangible assets for the three months ended March 31, 2013 and March 31, 2012 was $3.7 million and $3.9 million, respectively. Amortization of intangible assets is estimated to be approximately $9 million for the remainder of 2013, $9 million in 2014, $7 million in 2015, $6 million in 2016, $4 million in 2017, $4 million in 2018 and $3 million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68"/>
              <w:spacing w:after="0"/>
              <w:rPr>
                <w:sz w:val="20"/>
                <w:szCs w:val="20"/>
                <w:color w:val="auto"/>
              </w:rPr>
            </w:pPr>
            <w:r>
              <w:rPr>
                <w:rFonts w:ascii="Arial" w:cs="Arial" w:eastAsia="Arial" w:hAnsi="Arial"/>
                <w:sz w:val="12"/>
                <w:szCs w:val="12"/>
                <w:b w:val="1"/>
                <w:bCs w:val="1"/>
                <w:color w:val="auto"/>
              </w:rPr>
              <w:t>Cable</w:t>
            </w:r>
          </w:p>
        </w:tc>
        <w:tc>
          <w:tcPr>
            <w:tcW w:w="220" w:type="dxa"/>
            <w:vAlign w:val="bottom"/>
          </w:tcPr>
          <w:p>
            <w:pPr>
              <w:spacing w:after="0"/>
              <w:rPr>
                <w:sz w:val="12"/>
                <w:szCs w:val="12"/>
                <w:color w:val="auto"/>
              </w:rPr>
            </w:pPr>
          </w:p>
        </w:tc>
        <w:tc>
          <w:tcPr>
            <w:tcW w:w="920" w:type="dxa"/>
            <w:vAlign w:val="bottom"/>
          </w:tcPr>
          <w:p>
            <w:pPr>
              <w:jc w:val="right"/>
              <w:ind w:right="148"/>
              <w:spacing w:after="0"/>
              <w:rPr>
                <w:sz w:val="20"/>
                <w:szCs w:val="20"/>
                <w:color w:val="auto"/>
              </w:rPr>
            </w:pPr>
            <w:r>
              <w:rPr>
                <w:rFonts w:ascii="Arial" w:cs="Arial" w:eastAsia="Arial" w:hAnsi="Arial"/>
                <w:sz w:val="12"/>
                <w:szCs w:val="12"/>
                <w:b w:val="1"/>
                <w:bCs w:val="1"/>
                <w:color w:val="auto"/>
              </w:rPr>
              <w:t>Newspaper</w:t>
            </w:r>
          </w:p>
        </w:tc>
        <w:tc>
          <w:tcPr>
            <w:tcW w:w="180" w:type="dxa"/>
            <w:vAlign w:val="bottom"/>
          </w:tcPr>
          <w:p>
            <w:pPr>
              <w:spacing w:after="0"/>
              <w:rPr>
                <w:sz w:val="12"/>
                <w:szCs w:val="12"/>
                <w:color w:val="auto"/>
              </w:rPr>
            </w:pPr>
          </w:p>
        </w:tc>
        <w:tc>
          <w:tcPr>
            <w:tcW w:w="940" w:type="dxa"/>
            <w:vAlign w:val="bottom"/>
          </w:tcPr>
          <w:p>
            <w:pPr>
              <w:jc w:val="right"/>
              <w:ind w:right="168"/>
              <w:spacing w:after="0"/>
              <w:rPr>
                <w:sz w:val="20"/>
                <w:szCs w:val="20"/>
                <w:color w:val="auto"/>
              </w:rPr>
            </w:pPr>
            <w:r>
              <w:rPr>
                <w:rFonts w:ascii="Arial" w:cs="Arial" w:eastAsia="Arial" w:hAnsi="Arial"/>
                <w:sz w:val="12"/>
                <w:szCs w:val="12"/>
                <w:b w:val="1"/>
                <w:bCs w:val="1"/>
                <w:color w:val="auto"/>
              </w:rPr>
              <w:t>Television</w:t>
            </w:r>
          </w:p>
        </w:tc>
        <w:tc>
          <w:tcPr>
            <w:tcW w:w="220" w:type="dxa"/>
            <w:vAlign w:val="bottom"/>
          </w:tcPr>
          <w:p>
            <w:pPr>
              <w:spacing w:after="0"/>
              <w:rPr>
                <w:sz w:val="12"/>
                <w:szCs w:val="12"/>
                <w:color w:val="auto"/>
              </w:rPr>
            </w:pPr>
          </w:p>
        </w:tc>
        <w:tc>
          <w:tcPr>
            <w:tcW w:w="920" w:type="dxa"/>
            <w:vAlign w:val="bottom"/>
          </w:tcPr>
          <w:p>
            <w:pPr>
              <w:jc w:val="right"/>
              <w:ind w:right="308"/>
              <w:spacing w:after="0"/>
              <w:rPr>
                <w:sz w:val="20"/>
                <w:szCs w:val="20"/>
                <w:color w:val="auto"/>
              </w:rPr>
            </w:pPr>
            <w:r>
              <w:rPr>
                <w:rFonts w:ascii="Arial" w:cs="Arial" w:eastAsia="Arial" w:hAnsi="Arial"/>
                <w:sz w:val="12"/>
                <w:szCs w:val="12"/>
                <w:b w:val="1"/>
                <w:bCs w:val="1"/>
                <w:color w:val="auto"/>
              </w:rPr>
              <w:t>Other</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1"/>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Education</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w w:val="98"/>
              </w:rPr>
              <w:t>Television</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Publishing</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Broadcasting</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Businesses</w:t>
            </w: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Total</w:t>
            </w: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4"/>
        </w:trPr>
        <w:tc>
          <w:tcPr>
            <w:tcW w:w="4460" w:type="dxa"/>
            <w:vAlign w:val="bottom"/>
          </w:tcPr>
          <w:p>
            <w:pPr>
              <w:ind w:left="240"/>
              <w:spacing w:after="0"/>
              <w:rPr>
                <w:sz w:val="20"/>
                <w:szCs w:val="20"/>
                <w:color w:val="auto"/>
              </w:rPr>
            </w:pPr>
            <w:r>
              <w:rPr>
                <w:rFonts w:ascii="Arial" w:cs="Arial" w:eastAsia="Arial" w:hAnsi="Arial"/>
                <w:sz w:val="15"/>
                <w:szCs w:val="15"/>
                <w:color w:val="auto"/>
              </w:rPr>
              <w:t>Goodwill</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1,097,058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85,488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81,183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
              <w:spacing w:after="0"/>
              <w:rPr>
                <w:sz w:val="20"/>
                <w:szCs w:val="20"/>
                <w:color w:val="auto"/>
              </w:rPr>
            </w:pPr>
            <w:r>
              <w:rPr>
                <w:rFonts w:ascii="Arial" w:cs="Arial" w:eastAsia="Arial" w:hAnsi="Arial"/>
                <w:sz w:val="15"/>
                <w:szCs w:val="15"/>
                <w:color w:val="auto"/>
              </w:rPr>
              <w:t>203,165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19,052</w:t>
            </w:r>
          </w:p>
        </w:tc>
        <w:tc>
          <w:tcPr>
            <w:tcW w:w="4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1,485,946</w:t>
            </w:r>
          </w:p>
        </w:tc>
      </w:tr>
      <w:tr>
        <w:trPr>
          <w:trHeight w:val="172"/>
        </w:trPr>
        <w:tc>
          <w:tcPr>
            <w:tcW w:w="446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(102,259)</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(65,772)</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(168,031)</w:t>
            </w:r>
          </w:p>
        </w:tc>
      </w:tr>
      <w:tr>
        <w:trPr>
          <w:trHeight w:val="150"/>
        </w:trPr>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7"/>
              <w:spacing w:after="0" w:line="150" w:lineRule="exact"/>
              <w:rPr>
                <w:sz w:val="20"/>
                <w:szCs w:val="20"/>
                <w:color w:val="auto"/>
              </w:rPr>
            </w:pPr>
            <w:r>
              <w:rPr>
                <w:rFonts w:ascii="Arial" w:cs="Arial" w:eastAsia="Arial" w:hAnsi="Arial"/>
                <w:sz w:val="15"/>
                <w:szCs w:val="15"/>
                <w:color w:val="auto"/>
              </w:rPr>
              <w:t>994,799</w:t>
            </w:r>
          </w:p>
        </w:tc>
        <w:tc>
          <w:tcPr>
            <w:tcW w:w="240" w:type="dxa"/>
            <w:vAlign w:val="bottom"/>
          </w:tcPr>
          <w:p>
            <w:pPr>
              <w:spacing w:after="0"/>
              <w:rPr>
                <w:sz w:val="13"/>
                <w:szCs w:val="13"/>
                <w:color w:val="auto"/>
              </w:rPr>
            </w:pPr>
          </w:p>
        </w:tc>
        <w:tc>
          <w:tcPr>
            <w:tcW w:w="820" w:type="dxa"/>
            <w:vAlign w:val="bottom"/>
          </w:tcPr>
          <w:p>
            <w:pPr>
              <w:jc w:val="right"/>
              <w:ind w:right="8"/>
              <w:spacing w:after="0" w:line="150" w:lineRule="exact"/>
              <w:rPr>
                <w:sz w:val="20"/>
                <w:szCs w:val="20"/>
                <w:color w:val="auto"/>
              </w:rPr>
            </w:pPr>
            <w:r>
              <w:rPr>
                <w:rFonts w:ascii="Arial" w:cs="Arial" w:eastAsia="Arial" w:hAnsi="Arial"/>
                <w:sz w:val="15"/>
                <w:szCs w:val="15"/>
                <w:color w:val="auto"/>
              </w:rPr>
              <w:t>85,488</w:t>
            </w:r>
          </w:p>
        </w:tc>
        <w:tc>
          <w:tcPr>
            <w:tcW w:w="220" w:type="dxa"/>
            <w:vAlign w:val="bottom"/>
          </w:tcPr>
          <w:p>
            <w:pPr>
              <w:spacing w:after="0"/>
              <w:rPr>
                <w:sz w:val="13"/>
                <w:szCs w:val="13"/>
                <w:color w:val="auto"/>
              </w:rPr>
            </w:pPr>
          </w:p>
        </w:tc>
        <w:tc>
          <w:tcPr>
            <w:tcW w:w="920" w:type="dxa"/>
            <w:vAlign w:val="bottom"/>
          </w:tcPr>
          <w:p>
            <w:pPr>
              <w:jc w:val="right"/>
              <w:ind w:right="8"/>
              <w:spacing w:after="0" w:line="150" w:lineRule="exact"/>
              <w:rPr>
                <w:sz w:val="20"/>
                <w:szCs w:val="20"/>
                <w:color w:val="auto"/>
              </w:rPr>
            </w:pPr>
            <w:r>
              <w:rPr>
                <w:rFonts w:ascii="Arial" w:cs="Arial" w:eastAsia="Arial" w:hAnsi="Arial"/>
                <w:sz w:val="15"/>
                <w:szCs w:val="15"/>
                <w:color w:val="auto"/>
              </w:rPr>
              <w:t>15,411</w:t>
            </w:r>
          </w:p>
        </w:tc>
        <w:tc>
          <w:tcPr>
            <w:tcW w:w="180" w:type="dxa"/>
            <w:vAlign w:val="bottom"/>
          </w:tcPr>
          <w:p>
            <w:pPr>
              <w:spacing w:after="0"/>
              <w:rPr>
                <w:sz w:val="13"/>
                <w:szCs w:val="13"/>
                <w:color w:val="auto"/>
              </w:rPr>
            </w:pPr>
          </w:p>
        </w:tc>
        <w:tc>
          <w:tcPr>
            <w:tcW w:w="940" w:type="dxa"/>
            <w:vAlign w:val="bottom"/>
          </w:tcPr>
          <w:p>
            <w:pPr>
              <w:jc w:val="right"/>
              <w:ind w:right="8"/>
              <w:spacing w:after="0" w:line="150" w:lineRule="exact"/>
              <w:rPr>
                <w:sz w:val="20"/>
                <w:szCs w:val="20"/>
                <w:color w:val="auto"/>
              </w:rPr>
            </w:pPr>
            <w:r>
              <w:rPr>
                <w:rFonts w:ascii="Arial" w:cs="Arial" w:eastAsia="Arial" w:hAnsi="Arial"/>
                <w:sz w:val="15"/>
                <w:szCs w:val="15"/>
                <w:color w:val="auto"/>
              </w:rPr>
              <w:t>203,165</w:t>
            </w:r>
          </w:p>
        </w:tc>
        <w:tc>
          <w:tcPr>
            <w:tcW w:w="220" w:type="dxa"/>
            <w:vAlign w:val="bottom"/>
          </w:tcPr>
          <w:p>
            <w:pPr>
              <w:spacing w:after="0"/>
              <w:rPr>
                <w:sz w:val="13"/>
                <w:szCs w:val="13"/>
                <w:color w:val="auto"/>
              </w:rPr>
            </w:pPr>
          </w:p>
        </w:tc>
        <w:tc>
          <w:tcPr>
            <w:tcW w:w="920" w:type="dxa"/>
            <w:vAlign w:val="bottom"/>
          </w:tcPr>
          <w:p>
            <w:pPr>
              <w:jc w:val="right"/>
              <w:ind w:right="8"/>
              <w:spacing w:after="0" w:line="150" w:lineRule="exact"/>
              <w:rPr>
                <w:sz w:val="20"/>
                <w:szCs w:val="20"/>
                <w:color w:val="auto"/>
              </w:rPr>
            </w:pPr>
            <w:r>
              <w:rPr>
                <w:rFonts w:ascii="Arial" w:cs="Arial" w:eastAsia="Arial" w:hAnsi="Arial"/>
                <w:sz w:val="15"/>
                <w:szCs w:val="15"/>
                <w:color w:val="auto"/>
              </w:rPr>
              <w:t>19,052</w:t>
            </w:r>
          </w:p>
        </w:tc>
        <w:tc>
          <w:tcPr>
            <w:tcW w:w="42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1,317,915</w:t>
            </w:r>
          </w:p>
        </w:tc>
      </w:tr>
      <w:tr>
        <w:trPr>
          <w:trHeight w:val="174"/>
        </w:trPr>
        <w:tc>
          <w:tcPr>
            <w:tcW w:w="4460" w:type="dxa"/>
            <w:vAlign w:val="bottom"/>
          </w:tcPr>
          <w:p>
            <w:pPr>
              <w:spacing w:after="0"/>
              <w:rPr>
                <w:sz w:val="20"/>
                <w:szCs w:val="20"/>
                <w:color w:val="auto"/>
              </w:rPr>
            </w:pPr>
            <w:r>
              <w:rPr>
                <w:rFonts w:ascii="Arial" w:cs="Arial" w:eastAsia="Arial" w:hAnsi="Arial"/>
                <w:sz w:val="15"/>
                <w:szCs w:val="15"/>
                <w:b w:val="1"/>
                <w:bCs w:val="1"/>
                <w:color w:val="auto"/>
              </w:rPr>
              <w:t>Acquisitions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627</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627</w:t>
            </w:r>
          </w:p>
        </w:tc>
      </w:tr>
      <w:tr>
        <w:trPr>
          <w:trHeight w:val="190"/>
        </w:trPr>
        <w:tc>
          <w:tcPr>
            <w:tcW w:w="44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(8,879)</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(8,879)</w:t>
            </w:r>
          </w:p>
        </w:tc>
      </w:tr>
      <w:tr>
        <w:trPr>
          <w:trHeight w:val="150"/>
        </w:trPr>
        <w:tc>
          <w:tcPr>
            <w:tcW w:w="44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March 31, 2013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4"/>
        </w:trPr>
        <w:tc>
          <w:tcPr>
            <w:tcW w:w="4460" w:type="dxa"/>
            <w:vAlign w:val="bottom"/>
          </w:tcPr>
          <w:p>
            <w:pPr>
              <w:ind w:left="240"/>
              <w:spacing w:after="0"/>
              <w:rPr>
                <w:sz w:val="20"/>
                <w:szCs w:val="20"/>
                <w:color w:val="auto"/>
              </w:rPr>
            </w:pPr>
            <w:r>
              <w:rPr>
                <w:rFonts w:ascii="Arial" w:cs="Arial" w:eastAsia="Arial" w:hAnsi="Arial"/>
                <w:sz w:val="15"/>
                <w:szCs w:val="15"/>
                <w:b w:val="1"/>
                <w:bCs w:val="1"/>
                <w:color w:val="auto"/>
              </w:rPr>
              <w:t>Goodwill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1,088,179</w:t>
            </w:r>
          </w:p>
        </w:tc>
        <w:tc>
          <w:tcPr>
            <w:tcW w:w="2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85,488</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71,448</w:t>
            </w:r>
          </w:p>
        </w:tc>
        <w:tc>
          <w:tcPr>
            <w:tcW w:w="1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203,165</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19,679</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1,467,959</w:t>
            </w:r>
          </w:p>
        </w:tc>
      </w:tr>
      <w:tr>
        <w:trPr>
          <w:trHeight w:val="190"/>
        </w:trPr>
        <w:tc>
          <w:tcPr>
            <w:tcW w:w="4460" w:type="dxa"/>
            <w:vAlign w:val="bottom"/>
          </w:tcPr>
          <w:p>
            <w:pPr>
              <w:ind w:left="240"/>
              <w:spacing w:after="0"/>
              <w:rPr>
                <w:sz w:val="20"/>
                <w:szCs w:val="20"/>
                <w:color w:val="auto"/>
              </w:rPr>
            </w:pPr>
            <w:r>
              <w:rPr>
                <w:rFonts w:ascii="Arial" w:cs="Arial" w:eastAsia="Arial" w:hAnsi="Arial"/>
                <w:sz w:val="15"/>
                <w:szCs w:val="15"/>
                <w:b w:val="1"/>
                <w:bCs w:val="1"/>
                <w:color w:val="auto"/>
              </w:rPr>
              <w:t>Accumulated impairment losses</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(102,259)</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(56,037)</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(158,296)</w:t>
            </w:r>
          </w:p>
        </w:tc>
      </w:tr>
      <w:tr>
        <w:trPr>
          <w:trHeight w:val="166"/>
        </w:trPr>
        <w:tc>
          <w:tcPr>
            <w:tcW w:w="4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985,920</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85,488</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15,411</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203,165</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19,679</w:t>
            </w:r>
          </w:p>
        </w:tc>
        <w:tc>
          <w:tcPr>
            <w:tcW w:w="42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1,309,663</w:t>
            </w: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carrying amount of goodwill at the Company’s education division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648"/>
              <w:spacing w:after="0"/>
              <w:rPr>
                <w:sz w:val="20"/>
                <w:szCs w:val="20"/>
                <w:color w:val="auto"/>
              </w:rPr>
            </w:pPr>
            <w:r>
              <w:rPr>
                <w:rFonts w:ascii="Arial" w:cs="Arial" w:eastAsia="Arial" w:hAnsi="Arial"/>
                <w:sz w:val="12"/>
                <w:szCs w:val="12"/>
                <w:b w:val="1"/>
                <w:bCs w:val="1"/>
                <w:color w:val="auto"/>
              </w:rPr>
              <w:t>Higher</w:t>
            </w:r>
          </w:p>
        </w:tc>
        <w:tc>
          <w:tcPr>
            <w:tcW w:w="360" w:type="dxa"/>
            <w:vAlign w:val="bottom"/>
          </w:tcPr>
          <w:p>
            <w:pPr>
              <w:spacing w:after="0"/>
              <w:rPr>
                <w:sz w:val="12"/>
                <w:szCs w:val="12"/>
                <w:color w:val="auto"/>
              </w:rPr>
            </w:pPr>
          </w:p>
        </w:tc>
        <w:tc>
          <w:tcPr>
            <w:tcW w:w="1360" w:type="dxa"/>
            <w:vAlign w:val="bottom"/>
          </w:tcPr>
          <w:p>
            <w:pPr>
              <w:jc w:val="right"/>
              <w:ind w:right="708"/>
              <w:spacing w:after="0"/>
              <w:rPr>
                <w:sz w:val="20"/>
                <w:szCs w:val="20"/>
                <w:color w:val="auto"/>
              </w:rPr>
            </w:pPr>
            <w:r>
              <w:rPr>
                <w:rFonts w:ascii="Arial" w:cs="Arial" w:eastAsia="Arial" w:hAnsi="Arial"/>
                <w:sz w:val="12"/>
                <w:szCs w:val="12"/>
                <w:b w:val="1"/>
                <w:bCs w:val="1"/>
                <w:color w:val="auto"/>
              </w:rPr>
              <w:t>Test</w:t>
            </w:r>
          </w:p>
        </w:tc>
        <w:tc>
          <w:tcPr>
            <w:tcW w:w="340" w:type="dxa"/>
            <w:vAlign w:val="bottom"/>
          </w:tcPr>
          <w:p>
            <w:pPr>
              <w:spacing w:after="0"/>
              <w:rPr>
                <w:sz w:val="12"/>
                <w:szCs w:val="12"/>
                <w:color w:val="auto"/>
              </w:rPr>
            </w:pPr>
          </w:p>
        </w:tc>
        <w:tc>
          <w:tcPr>
            <w:tcW w:w="1360" w:type="dxa"/>
            <w:vAlign w:val="bottom"/>
          </w:tcPr>
          <w:p>
            <w:pPr>
              <w:jc w:val="right"/>
              <w:ind w:right="628"/>
              <w:spacing w:after="0"/>
              <w:rPr>
                <w:sz w:val="20"/>
                <w:szCs w:val="20"/>
                <w:color w:val="auto"/>
              </w:rPr>
            </w:pPr>
            <w:r>
              <w:rPr>
                <w:rFonts w:ascii="Arial" w:cs="Arial" w:eastAsia="Arial" w:hAnsi="Arial"/>
                <w:sz w:val="12"/>
                <w:szCs w:val="12"/>
                <w:b w:val="1"/>
                <w:bCs w:val="1"/>
                <w:color w:val="auto"/>
              </w:rPr>
              <w:t>Kaplan</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1"/>
        </w:trPr>
        <w:tc>
          <w:tcPr>
            <w:tcW w:w="4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Education</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Preparation</w:t>
            </w: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International</w:t>
            </w: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Total</w:t>
            </w:r>
          </w:p>
        </w:tc>
      </w:tr>
      <w:tr>
        <w:trPr>
          <w:trHeight w:val="168"/>
        </w:trPr>
        <w:tc>
          <w:tcPr>
            <w:tcW w:w="458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2012</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4"/>
        </w:trPr>
        <w:tc>
          <w:tcPr>
            <w:tcW w:w="4580" w:type="dxa"/>
            <w:vAlign w:val="bottom"/>
          </w:tcPr>
          <w:p>
            <w:pPr>
              <w:ind w:left="240"/>
              <w:spacing w:after="0"/>
              <w:rPr>
                <w:sz w:val="20"/>
                <w:szCs w:val="20"/>
                <w:color w:val="auto"/>
              </w:rPr>
            </w:pPr>
            <w:r>
              <w:rPr>
                <w:rFonts w:ascii="Arial" w:cs="Arial" w:eastAsia="Arial" w:hAnsi="Arial"/>
                <w:sz w:val="15"/>
                <w:szCs w:val="15"/>
                <w:color w:val="auto"/>
              </w:rPr>
              <w:t>Goodwill</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68"/>
              <w:spacing w:after="0"/>
              <w:rPr>
                <w:sz w:val="20"/>
                <w:szCs w:val="20"/>
                <w:color w:val="auto"/>
              </w:rPr>
            </w:pPr>
            <w:r>
              <w:rPr>
                <w:rFonts w:ascii="Arial" w:cs="Arial" w:eastAsia="Arial" w:hAnsi="Arial"/>
                <w:sz w:val="15"/>
                <w:szCs w:val="15"/>
                <w:color w:val="auto"/>
              </w:rPr>
              <w:t>409,184</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8"/>
              <w:spacing w:after="0"/>
              <w:rPr>
                <w:sz w:val="20"/>
                <w:szCs w:val="20"/>
                <w:color w:val="auto"/>
              </w:rPr>
            </w:pPr>
            <w:r>
              <w:rPr>
                <w:rFonts w:ascii="Arial" w:cs="Arial" w:eastAsia="Arial" w:hAnsi="Arial"/>
                <w:sz w:val="15"/>
                <w:szCs w:val="15"/>
                <w:color w:val="auto"/>
              </w:rPr>
              <w:t>152,187</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8"/>
              <w:spacing w:after="0"/>
              <w:rPr>
                <w:sz w:val="20"/>
                <w:szCs w:val="20"/>
                <w:color w:val="auto"/>
              </w:rPr>
            </w:pPr>
            <w:r>
              <w:rPr>
                <w:rFonts w:ascii="Arial" w:cs="Arial" w:eastAsia="Arial" w:hAnsi="Arial"/>
                <w:sz w:val="15"/>
                <w:szCs w:val="15"/>
                <w:color w:val="auto"/>
              </w:rPr>
              <w:t>535,687</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1,097,058</w:t>
            </w:r>
          </w:p>
        </w:tc>
      </w:tr>
      <w:tr>
        <w:trPr>
          <w:trHeight w:val="172"/>
        </w:trPr>
        <w:tc>
          <w:tcPr>
            <w:tcW w:w="458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(102,259)</w:t>
            </w: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(102,259)</w:t>
            </w:r>
          </w:p>
        </w:tc>
      </w:tr>
      <w:tr>
        <w:trPr>
          <w:trHeight w:val="150"/>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68"/>
              <w:spacing w:after="0" w:line="150" w:lineRule="exact"/>
              <w:rPr>
                <w:sz w:val="20"/>
                <w:szCs w:val="20"/>
                <w:color w:val="auto"/>
              </w:rPr>
            </w:pPr>
            <w:r>
              <w:rPr>
                <w:rFonts w:ascii="Arial" w:cs="Arial" w:eastAsia="Arial" w:hAnsi="Arial"/>
                <w:sz w:val="15"/>
                <w:szCs w:val="15"/>
                <w:color w:val="auto"/>
              </w:rPr>
              <w:t>409,184</w:t>
            </w:r>
          </w:p>
        </w:tc>
        <w:tc>
          <w:tcPr>
            <w:tcW w:w="360" w:type="dxa"/>
            <w:vAlign w:val="bottom"/>
          </w:tcPr>
          <w:p>
            <w:pPr>
              <w:spacing w:after="0"/>
              <w:rPr>
                <w:sz w:val="13"/>
                <w:szCs w:val="13"/>
                <w:color w:val="auto"/>
              </w:rPr>
            </w:pPr>
          </w:p>
        </w:tc>
        <w:tc>
          <w:tcPr>
            <w:tcW w:w="1360" w:type="dxa"/>
            <w:vAlign w:val="bottom"/>
          </w:tcPr>
          <w:p>
            <w:pPr>
              <w:jc w:val="right"/>
              <w:ind w:right="68"/>
              <w:spacing w:after="0" w:line="150" w:lineRule="exact"/>
              <w:rPr>
                <w:sz w:val="20"/>
                <w:szCs w:val="20"/>
                <w:color w:val="auto"/>
              </w:rPr>
            </w:pPr>
            <w:r>
              <w:rPr>
                <w:rFonts w:ascii="Arial" w:cs="Arial" w:eastAsia="Arial" w:hAnsi="Arial"/>
                <w:sz w:val="15"/>
                <w:szCs w:val="15"/>
                <w:color w:val="auto"/>
              </w:rPr>
              <w:t>49,928</w:t>
            </w:r>
          </w:p>
        </w:tc>
        <w:tc>
          <w:tcPr>
            <w:tcW w:w="340" w:type="dxa"/>
            <w:vAlign w:val="bottom"/>
          </w:tcPr>
          <w:p>
            <w:pPr>
              <w:spacing w:after="0"/>
              <w:rPr>
                <w:sz w:val="13"/>
                <w:szCs w:val="13"/>
                <w:color w:val="auto"/>
              </w:rPr>
            </w:pPr>
          </w:p>
        </w:tc>
        <w:tc>
          <w:tcPr>
            <w:tcW w:w="1360" w:type="dxa"/>
            <w:vAlign w:val="bottom"/>
          </w:tcPr>
          <w:p>
            <w:pPr>
              <w:jc w:val="right"/>
              <w:ind w:right="68"/>
              <w:spacing w:after="0" w:line="150" w:lineRule="exact"/>
              <w:rPr>
                <w:sz w:val="20"/>
                <w:szCs w:val="20"/>
                <w:color w:val="auto"/>
              </w:rPr>
            </w:pPr>
            <w:r>
              <w:rPr>
                <w:rFonts w:ascii="Arial" w:cs="Arial" w:eastAsia="Arial" w:hAnsi="Arial"/>
                <w:sz w:val="15"/>
                <w:szCs w:val="15"/>
                <w:color w:val="auto"/>
              </w:rPr>
              <w:t>535,687</w:t>
            </w:r>
          </w:p>
        </w:tc>
        <w:tc>
          <w:tcPr>
            <w:tcW w:w="440" w:type="dxa"/>
            <w:vAlign w:val="bottom"/>
          </w:tcPr>
          <w:p>
            <w:pPr>
              <w:spacing w:after="0"/>
              <w:rPr>
                <w:sz w:val="13"/>
                <w:szCs w:val="13"/>
                <w:color w:val="auto"/>
              </w:rPr>
            </w:pPr>
          </w:p>
        </w:tc>
        <w:tc>
          <w:tcPr>
            <w:tcW w:w="1160" w:type="dxa"/>
            <w:vAlign w:val="bottom"/>
          </w:tcPr>
          <w:p>
            <w:pPr>
              <w:jc w:val="right"/>
              <w:spacing w:after="0" w:line="150" w:lineRule="exact"/>
              <w:rPr>
                <w:sz w:val="20"/>
                <w:szCs w:val="20"/>
                <w:color w:val="auto"/>
              </w:rPr>
            </w:pPr>
            <w:r>
              <w:rPr>
                <w:rFonts w:ascii="Arial" w:cs="Arial" w:eastAsia="Arial" w:hAnsi="Arial"/>
                <w:sz w:val="15"/>
                <w:szCs w:val="15"/>
                <w:color w:val="auto"/>
              </w:rPr>
              <w:t>994,799</w:t>
            </w:r>
          </w:p>
        </w:tc>
      </w:tr>
      <w:tr>
        <w:trPr>
          <w:trHeight w:val="190"/>
        </w:trPr>
        <w:tc>
          <w:tcPr>
            <w:tcW w:w="458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(50)</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(8,829)</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(8,879)</w:t>
            </w:r>
          </w:p>
        </w:tc>
      </w:tr>
      <w:tr>
        <w:trPr>
          <w:trHeight w:val="150"/>
        </w:trPr>
        <w:tc>
          <w:tcPr>
            <w:tcW w:w="458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March 31, 2013</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4"/>
        </w:trPr>
        <w:tc>
          <w:tcPr>
            <w:tcW w:w="4580" w:type="dxa"/>
            <w:vAlign w:val="bottom"/>
          </w:tcPr>
          <w:p>
            <w:pPr>
              <w:ind w:left="240"/>
              <w:spacing w:after="0"/>
              <w:rPr>
                <w:sz w:val="20"/>
                <w:szCs w:val="20"/>
                <w:color w:val="auto"/>
              </w:rPr>
            </w:pPr>
            <w:r>
              <w:rPr>
                <w:rFonts w:ascii="Arial" w:cs="Arial" w:eastAsia="Arial" w:hAnsi="Arial"/>
                <w:sz w:val="15"/>
                <w:szCs w:val="15"/>
                <w:b w:val="1"/>
                <w:bCs w:val="1"/>
                <w:color w:val="auto"/>
              </w:rPr>
              <w:t>Goodwill</w:t>
            </w:r>
          </w:p>
        </w:tc>
        <w:tc>
          <w:tcPr>
            <w:tcW w:w="300" w:type="dxa"/>
            <w:vAlign w:val="bottom"/>
          </w:tcPr>
          <w:p>
            <w:pPr>
              <w:spacing w:after="0"/>
              <w:rPr>
                <w:sz w:val="15"/>
                <w:szCs w:val="15"/>
                <w:color w:val="auto"/>
              </w:rPr>
            </w:pPr>
          </w:p>
        </w:tc>
        <w:tc>
          <w:tcPr>
            <w:tcW w:w="1420" w:type="dxa"/>
            <w:vAlign w:val="bottom"/>
          </w:tcPr>
          <w:p>
            <w:pPr>
              <w:jc w:val="right"/>
              <w:ind w:right="68"/>
              <w:spacing w:after="0"/>
              <w:rPr>
                <w:sz w:val="20"/>
                <w:szCs w:val="20"/>
                <w:color w:val="auto"/>
              </w:rPr>
            </w:pPr>
            <w:r>
              <w:rPr>
                <w:rFonts w:ascii="Arial" w:cs="Arial" w:eastAsia="Arial" w:hAnsi="Arial"/>
                <w:sz w:val="15"/>
                <w:szCs w:val="15"/>
                <w:b w:val="1"/>
                <w:bCs w:val="1"/>
                <w:color w:val="auto"/>
              </w:rPr>
              <w:t>409,134</w:t>
            </w:r>
          </w:p>
        </w:tc>
        <w:tc>
          <w:tcPr>
            <w:tcW w:w="36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5"/>
                <w:szCs w:val="15"/>
                <w:b w:val="1"/>
                <w:bCs w:val="1"/>
                <w:color w:val="auto"/>
              </w:rPr>
              <w:t>152,187</w:t>
            </w:r>
          </w:p>
        </w:tc>
        <w:tc>
          <w:tcPr>
            <w:tcW w:w="340" w:type="dxa"/>
            <w:vAlign w:val="bottom"/>
          </w:tcPr>
          <w:p>
            <w:pPr>
              <w:spacing w:after="0"/>
              <w:rPr>
                <w:sz w:val="15"/>
                <w:szCs w:val="15"/>
                <w:color w:val="auto"/>
              </w:rPr>
            </w:pPr>
          </w:p>
        </w:tc>
        <w:tc>
          <w:tcPr>
            <w:tcW w:w="1360" w:type="dxa"/>
            <w:vAlign w:val="bottom"/>
          </w:tcPr>
          <w:p>
            <w:pPr>
              <w:jc w:val="right"/>
              <w:ind w:right="68"/>
              <w:spacing w:after="0"/>
              <w:rPr>
                <w:sz w:val="20"/>
                <w:szCs w:val="20"/>
                <w:color w:val="auto"/>
              </w:rPr>
            </w:pPr>
            <w:r>
              <w:rPr>
                <w:rFonts w:ascii="Arial" w:cs="Arial" w:eastAsia="Arial" w:hAnsi="Arial"/>
                <w:sz w:val="15"/>
                <w:szCs w:val="15"/>
                <w:b w:val="1"/>
                <w:bCs w:val="1"/>
                <w:color w:val="auto"/>
              </w:rPr>
              <w:t>526,858</w:t>
            </w:r>
          </w:p>
        </w:tc>
        <w:tc>
          <w:tcPr>
            <w:tcW w:w="4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1,088,179</w:t>
            </w:r>
          </w:p>
        </w:tc>
      </w:tr>
      <w:tr>
        <w:trPr>
          <w:trHeight w:val="190"/>
        </w:trPr>
        <w:tc>
          <w:tcPr>
            <w:tcW w:w="4580" w:type="dxa"/>
            <w:vAlign w:val="bottom"/>
          </w:tcPr>
          <w:p>
            <w:pPr>
              <w:ind w:left="240"/>
              <w:spacing w:after="0"/>
              <w:rPr>
                <w:sz w:val="20"/>
                <w:szCs w:val="20"/>
                <w:color w:val="auto"/>
              </w:rPr>
            </w:pPr>
            <w:r>
              <w:rPr>
                <w:rFonts w:ascii="Arial" w:cs="Arial" w:eastAsia="Arial" w:hAnsi="Arial"/>
                <w:sz w:val="15"/>
                <w:szCs w:val="15"/>
                <w:b w:val="1"/>
                <w:bCs w:val="1"/>
                <w:color w:val="auto"/>
              </w:rPr>
              <w:t>Accumulated impairment losses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(102,259)</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(102,259)</w:t>
            </w:r>
          </w:p>
        </w:tc>
      </w:tr>
      <w:tr>
        <w:trPr>
          <w:trHeight w:val="166"/>
        </w:trPr>
        <w:tc>
          <w:tcPr>
            <w:tcW w:w="4580" w:type="dxa"/>
            <w:vAlign w:val="bottom"/>
          </w:tcPr>
          <w:p>
            <w:pPr>
              <w:spacing w:after="0"/>
              <w:rPr>
                <w:sz w:val="14"/>
                <w:szCs w:val="14"/>
                <w:color w:val="auto"/>
              </w:rPr>
            </w:pPr>
          </w:p>
        </w:tc>
        <w:tc>
          <w:tcPr>
            <w:tcW w:w="3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409,134</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49,928</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526,858</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985,920</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March 31, 2013</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As of December 31, 2012</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108"/>
              <w:spacing w:after="0" w:line="114"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920" w:type="dxa"/>
            <w:vAlign w:val="bottom"/>
          </w:tcPr>
          <w:p>
            <w:pPr>
              <w:jc w:val="center"/>
              <w:ind w:right="149"/>
              <w:spacing w:after="0" w:line="114" w:lineRule="exact"/>
              <w:rPr>
                <w:sz w:val="20"/>
                <w:szCs w:val="20"/>
                <w:color w:val="auto"/>
              </w:rPr>
            </w:pPr>
            <w:r>
              <w:rPr>
                <w:rFonts w:ascii="Arial" w:cs="Arial" w:eastAsia="Arial" w:hAnsi="Arial"/>
                <w:sz w:val="12"/>
                <w:szCs w:val="12"/>
                <w:color w:val="auto"/>
              </w:rPr>
              <w:t>Gross</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90"/>
              <w:spacing w:after="0" w:line="114" w:lineRule="exact"/>
              <w:rPr>
                <w:sz w:val="20"/>
                <w:szCs w:val="20"/>
                <w:color w:val="auto"/>
              </w:rPr>
            </w:pPr>
            <w:r>
              <w:rPr>
                <w:rFonts w:ascii="Arial" w:cs="Arial" w:eastAsia="Arial" w:hAnsi="Arial"/>
                <w:sz w:val="12"/>
                <w:szCs w:val="12"/>
                <w:color w:val="auto"/>
              </w:rPr>
              <w:t>Net</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0" w:type="dxa"/>
            <w:vAlign w:val="bottom"/>
          </w:tcPr>
          <w:p>
            <w:pPr>
              <w:jc w:val="center"/>
              <w:ind w:left="189"/>
              <w:spacing w:after="0" w:line="137" w:lineRule="exact"/>
              <w:rPr>
                <w:sz w:val="20"/>
                <w:szCs w:val="20"/>
                <w:color w:val="auto"/>
              </w:rPr>
            </w:pPr>
            <w:r>
              <w:rPr>
                <w:rFonts w:ascii="Arial" w:cs="Arial" w:eastAsia="Arial" w:hAnsi="Arial"/>
                <w:sz w:val="12"/>
                <w:szCs w:val="12"/>
                <w:b w:val="1"/>
                <w:bCs w:val="1"/>
                <w:color w:val="auto"/>
              </w:rPr>
              <w:t>Useful Life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28"/>
              <w:spacing w:after="0" w:line="137" w:lineRule="exact"/>
              <w:rPr>
                <w:sz w:val="20"/>
                <w:szCs w:val="20"/>
                <w:color w:val="auto"/>
              </w:rPr>
            </w:pPr>
            <w:r>
              <w:rPr>
                <w:rFonts w:ascii="Arial" w:cs="Arial" w:eastAsia="Arial" w:hAnsi="Arial"/>
                <w:sz w:val="12"/>
                <w:szCs w:val="12"/>
                <w:b w:val="1"/>
                <w:bCs w:val="1"/>
                <w:color w:val="auto"/>
              </w:rPr>
              <w:t>Carrying</w:t>
            </w:r>
          </w:p>
        </w:tc>
        <w:tc>
          <w:tcPr>
            <w:tcW w:w="260" w:type="dxa"/>
            <w:vAlign w:val="bottom"/>
          </w:tcPr>
          <w:p>
            <w:pPr>
              <w:spacing w:after="0"/>
              <w:rPr>
                <w:sz w:val="11"/>
                <w:szCs w:val="11"/>
                <w:color w:val="auto"/>
              </w:rPr>
            </w:pPr>
          </w:p>
        </w:tc>
        <w:tc>
          <w:tcPr>
            <w:tcW w:w="1060" w:type="dxa"/>
            <w:vAlign w:val="bottom"/>
          </w:tcPr>
          <w:p>
            <w:pPr>
              <w:jc w:val="right"/>
              <w:ind w:right="149"/>
              <w:spacing w:after="0" w:line="137"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11"/>
                <w:szCs w:val="11"/>
                <w:color w:val="auto"/>
              </w:rPr>
            </w:pPr>
          </w:p>
        </w:tc>
        <w:tc>
          <w:tcPr>
            <w:tcW w:w="960" w:type="dxa"/>
            <w:vAlign w:val="bottom"/>
          </w:tcPr>
          <w:p>
            <w:pPr>
              <w:jc w:val="center"/>
              <w:ind w:right="190"/>
              <w:spacing w:after="0" w:line="137" w:lineRule="exact"/>
              <w:rPr>
                <w:sz w:val="20"/>
                <w:szCs w:val="20"/>
                <w:color w:val="auto"/>
              </w:rPr>
            </w:pPr>
            <w:r>
              <w:rPr>
                <w:rFonts w:ascii="Arial" w:cs="Arial" w:eastAsia="Arial" w:hAnsi="Arial"/>
                <w:sz w:val="12"/>
                <w:szCs w:val="12"/>
                <w:b w:val="1"/>
                <w:bCs w:val="1"/>
                <w:color w:val="auto"/>
              </w:rPr>
              <w:t>Carrying</w:t>
            </w:r>
          </w:p>
        </w:tc>
        <w:tc>
          <w:tcPr>
            <w:tcW w:w="220" w:type="dxa"/>
            <w:vAlign w:val="bottom"/>
          </w:tcPr>
          <w:p>
            <w:pPr>
              <w:spacing w:after="0"/>
              <w:rPr>
                <w:sz w:val="11"/>
                <w:szCs w:val="11"/>
                <w:color w:val="auto"/>
              </w:rPr>
            </w:pPr>
          </w:p>
        </w:tc>
        <w:tc>
          <w:tcPr>
            <w:tcW w:w="920" w:type="dxa"/>
            <w:vAlign w:val="bottom"/>
          </w:tcPr>
          <w:p>
            <w:pPr>
              <w:jc w:val="center"/>
              <w:ind w:right="149"/>
              <w:spacing w:after="0" w:line="137" w:lineRule="exact"/>
              <w:rPr>
                <w:sz w:val="20"/>
                <w:szCs w:val="20"/>
                <w:color w:val="auto"/>
              </w:rPr>
            </w:pPr>
            <w:r>
              <w:rPr>
                <w:rFonts w:ascii="Arial" w:cs="Arial" w:eastAsia="Arial" w:hAnsi="Arial"/>
                <w:sz w:val="12"/>
                <w:szCs w:val="12"/>
                <w:color w:val="auto"/>
              </w:rPr>
              <w:t>Carrying</w:t>
            </w:r>
          </w:p>
        </w:tc>
        <w:tc>
          <w:tcPr>
            <w:tcW w:w="260" w:type="dxa"/>
            <w:vAlign w:val="bottom"/>
          </w:tcPr>
          <w:p>
            <w:pPr>
              <w:spacing w:after="0"/>
              <w:rPr>
                <w:sz w:val="11"/>
                <w:szCs w:val="11"/>
                <w:color w:val="auto"/>
              </w:rPr>
            </w:pPr>
          </w:p>
        </w:tc>
        <w:tc>
          <w:tcPr>
            <w:tcW w:w="1080" w:type="dxa"/>
            <w:vAlign w:val="bottom"/>
          </w:tcPr>
          <w:p>
            <w:pPr>
              <w:jc w:val="right"/>
              <w:ind w:right="229"/>
              <w:spacing w:after="0" w:line="137" w:lineRule="exact"/>
              <w:rPr>
                <w:sz w:val="20"/>
                <w:szCs w:val="20"/>
                <w:color w:val="auto"/>
              </w:rPr>
            </w:pPr>
            <w:r>
              <w:rPr>
                <w:rFonts w:ascii="Arial" w:cs="Arial" w:eastAsia="Arial" w:hAnsi="Arial"/>
                <w:sz w:val="12"/>
                <w:szCs w:val="12"/>
                <w:color w:val="auto"/>
              </w:rPr>
              <w:t>Accumulated</w:t>
            </w:r>
          </w:p>
        </w:tc>
        <w:tc>
          <w:tcPr>
            <w:tcW w:w="180" w:type="dxa"/>
            <w:vAlign w:val="bottom"/>
          </w:tcPr>
          <w:p>
            <w:pPr>
              <w:spacing w:after="0"/>
              <w:rPr>
                <w:sz w:val="11"/>
                <w:szCs w:val="11"/>
                <w:color w:val="auto"/>
              </w:rPr>
            </w:pPr>
          </w:p>
        </w:tc>
        <w:tc>
          <w:tcPr>
            <w:tcW w:w="840" w:type="dxa"/>
            <w:vAlign w:val="bottom"/>
          </w:tcPr>
          <w:p>
            <w:pPr>
              <w:jc w:val="center"/>
              <w:ind w:right="90"/>
              <w:spacing w:after="0" w:line="137" w:lineRule="exact"/>
              <w:rPr>
                <w:sz w:val="20"/>
                <w:szCs w:val="20"/>
                <w:color w:val="auto"/>
              </w:rPr>
            </w:pPr>
            <w:r>
              <w:rPr>
                <w:rFonts w:ascii="Arial" w:cs="Arial" w:eastAsia="Arial" w:hAnsi="Arial"/>
                <w:sz w:val="12"/>
                <w:szCs w:val="12"/>
                <w:color w:val="auto"/>
              </w:rPr>
              <w:t>Carrying</w:t>
            </w: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200" w:type="dxa"/>
            <w:vAlign w:val="bottom"/>
            <w:tcBorders>
              <w:bottom w:val="single" w:sz="8" w:color="auto"/>
            </w:tcBorders>
          </w:tcPr>
          <w:p>
            <w:pPr>
              <w:jc w:val="center"/>
              <w:ind w:left="189"/>
              <w:spacing w:after="0"/>
              <w:rPr>
                <w:sz w:val="20"/>
                <w:szCs w:val="20"/>
                <w:color w:val="auto"/>
              </w:rPr>
            </w:pPr>
            <w:r>
              <w:rPr>
                <w:rFonts w:ascii="Arial" w:cs="Arial" w:eastAsia="Arial" w:hAnsi="Arial"/>
                <w:sz w:val="12"/>
                <w:szCs w:val="12"/>
                <w:b w:val="1"/>
                <w:bCs w:val="1"/>
                <w:color w:val="auto"/>
              </w:rPr>
              <w:t>Range</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2"/>
                <w:szCs w:val="12"/>
                <w:color w:val="auto"/>
              </w:rPr>
              <w:t>Amount</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color w:val="auto"/>
              </w:rPr>
              <w:t>Amortization</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color w:val="auto"/>
              </w:rPr>
              <w:t>Amount</w:t>
            </w: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200" w:type="dxa"/>
            <w:vAlign w:val="bottom"/>
            <w:vMerge w:val="restart"/>
          </w:tcPr>
          <w:p>
            <w:pPr>
              <w:jc w:val="center"/>
              <w:ind w:left="189"/>
              <w:spacing w:after="0"/>
              <w:rPr>
                <w:sz w:val="20"/>
                <w:szCs w:val="20"/>
                <w:color w:val="auto"/>
              </w:rPr>
            </w:pPr>
            <w:r>
              <w:rPr>
                <w:rFonts w:ascii="Arial" w:cs="Arial" w:eastAsia="Arial" w:hAnsi="Arial"/>
                <w:sz w:val="15"/>
                <w:szCs w:val="15"/>
                <w:b w:val="1"/>
                <w:bCs w:val="1"/>
                <w:color w:val="auto"/>
              </w:rPr>
              <w:t>2-5 years</w:t>
            </w:r>
          </w:p>
        </w:tc>
        <w:tc>
          <w:tcPr>
            <w:tcW w:w="320" w:type="dxa"/>
            <w:vAlign w:val="bottom"/>
            <w:gridSpan w:val="2"/>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13,849</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9"/>
              <w:spacing w:after="0"/>
              <w:rPr>
                <w:sz w:val="20"/>
                <w:szCs w:val="20"/>
                <w:color w:val="auto"/>
              </w:rPr>
            </w:pPr>
            <w:r>
              <w:rPr>
                <w:rFonts w:ascii="Arial" w:cs="Arial" w:eastAsia="Arial" w:hAnsi="Arial"/>
                <w:sz w:val="15"/>
                <w:szCs w:val="15"/>
                <w:b w:val="1"/>
                <w:bCs w:val="1"/>
                <w:color w:val="auto"/>
              </w:rPr>
              <w:t>12,670</w:t>
            </w:r>
          </w:p>
        </w:tc>
        <w:tc>
          <w:tcPr>
            <w:tcW w:w="24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tcPr>
          <w:p>
            <w:pPr>
              <w:jc w:val="right"/>
              <w:ind w:right="70"/>
              <w:spacing w:after="0"/>
              <w:rPr>
                <w:sz w:val="20"/>
                <w:szCs w:val="20"/>
                <w:color w:val="auto"/>
              </w:rPr>
            </w:pPr>
            <w:r>
              <w:rPr>
                <w:rFonts w:ascii="Arial" w:cs="Arial" w:eastAsia="Arial" w:hAnsi="Arial"/>
                <w:sz w:val="15"/>
                <w:szCs w:val="15"/>
                <w:b w:val="1"/>
                <w:bCs w:val="1"/>
                <w:color w:val="auto"/>
              </w:rPr>
              <w:t>1,179</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Non-compete agreements</w:t>
            </w:r>
          </w:p>
        </w:tc>
        <w:tc>
          <w:tcPr>
            <w:tcW w:w="12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jc w:val="right"/>
              <w:ind w:right="46"/>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14,008</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line="156" w:lineRule="exact"/>
              <w:rPr>
                <w:sz w:val="20"/>
                <w:szCs w:val="20"/>
                <w:color w:val="auto"/>
              </w:rPr>
            </w:pPr>
            <w:r>
              <w:rPr>
                <w:rFonts w:ascii="Arial" w:cs="Arial" w:eastAsia="Arial" w:hAnsi="Arial"/>
                <w:sz w:val="15"/>
                <w:szCs w:val="15"/>
                <w:color w:val="auto"/>
              </w:rPr>
              <w:t>12,546</w:t>
            </w:r>
          </w:p>
        </w:tc>
        <w:tc>
          <w:tcPr>
            <w:tcW w:w="180" w:type="dxa"/>
            <w:vAlign w:val="bottom"/>
          </w:tcPr>
          <w:p>
            <w:pPr>
              <w:jc w:val="right"/>
              <w:ind w:right="6"/>
              <w:spacing w:after="0" w:line="156" w:lineRule="exact"/>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Student and customer relationships</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2-10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73,457</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42,651</w:t>
            </w:r>
          </w:p>
        </w:tc>
        <w:tc>
          <w:tcPr>
            <w:tcW w:w="24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30,806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73,693</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40,787</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32,906</w:t>
            </w: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Databases and technology</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3-5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6,457</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6,082</w:t>
            </w:r>
          </w:p>
        </w:tc>
        <w:tc>
          <w:tcPr>
            <w:tcW w:w="24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375</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6,457</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5,707</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Trade names and trademarks</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2-10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26,372</w:t>
            </w:r>
          </w:p>
        </w:tc>
        <w:tc>
          <w:tcPr>
            <w:tcW w:w="2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5"/>
                <w:szCs w:val="15"/>
                <w:b w:val="1"/>
                <w:bCs w:val="1"/>
                <w:color w:val="auto"/>
              </w:rPr>
              <w:t>18,364</w:t>
            </w:r>
          </w:p>
        </w:tc>
        <w:tc>
          <w:tcPr>
            <w:tcW w:w="24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8,008</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26,634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18,185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8,449</w:t>
            </w: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Other</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1-25 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8,872</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7,187</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b w:val="1"/>
                <w:bCs w:val="1"/>
                <w:color w:val="auto"/>
              </w:rPr>
              <w:t>1,685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8,849</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6,839</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2,010</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129,007</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86,954</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b w:val="1"/>
                <w:bCs w:val="1"/>
                <w:color w:val="auto"/>
              </w:rPr>
              <w:t>42,053</w:t>
            </w: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129,641</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84,064</w:t>
            </w:r>
          </w:p>
        </w:tc>
        <w:tc>
          <w:tcPr>
            <w:tcW w:w="1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45,577</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gridSpan w:val="2"/>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Franchise agreements</w:t>
            </w:r>
          </w:p>
        </w:tc>
        <w:tc>
          <w:tcPr>
            <w:tcW w:w="12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jc w:val="right"/>
              <w:ind w:right="46"/>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496,321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Wireless licenses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22,150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Licensure and accreditation</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7,371</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7,371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Other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13,886</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13,886</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539,728</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539,728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14"/>
        </w:trPr>
        <w:tc>
          <w:tcPr>
            <w:tcW w:w="8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tcPr>
          <w:p>
            <w:pPr>
              <w:jc w:val="right"/>
              <w:ind w:right="689"/>
              <w:spacing w:after="0" w:line="114" w:lineRule="exact"/>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9"/>
                <w:szCs w:val="9"/>
                <w:color w:val="auto"/>
              </w:rPr>
            </w:pPr>
          </w:p>
        </w:tc>
        <w:tc>
          <w:tcPr>
            <w:tcW w:w="1180" w:type="dxa"/>
            <w:vAlign w:val="bottom"/>
          </w:tcPr>
          <w:p>
            <w:pPr>
              <w:jc w:val="right"/>
              <w:ind w:right="268"/>
              <w:spacing w:after="0" w:line="114" w:lineRule="exact"/>
              <w:rPr>
                <w:sz w:val="20"/>
                <w:szCs w:val="20"/>
                <w:color w:val="auto"/>
              </w:rPr>
            </w:pPr>
            <w:r>
              <w:rPr>
                <w:rFonts w:ascii="Arial" w:cs="Arial" w:eastAsia="Arial" w:hAnsi="Arial"/>
                <w:sz w:val="12"/>
                <w:szCs w:val="12"/>
                <w:color w:val="auto"/>
              </w:rPr>
              <w:t>December 31,</w:t>
            </w: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69"/>
              <w:spacing w:after="0"/>
              <w:rPr>
                <w:sz w:val="20"/>
                <w:szCs w:val="20"/>
                <w:color w:val="auto"/>
              </w:rPr>
            </w:pPr>
            <w:r>
              <w:rPr>
                <w:rFonts w:ascii="Arial" w:cs="Arial" w:eastAsia="Arial" w:hAnsi="Arial"/>
                <w:sz w:val="12"/>
                <w:szCs w:val="12"/>
                <w:b w:val="1"/>
                <w:bCs w:val="1"/>
                <w:color w:val="auto"/>
              </w:rPr>
              <w:t>2013</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color w:val="auto"/>
              </w:rPr>
              <w:t>2012</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7.25% unsecured notes due February 1, 2019</w:t>
            </w:r>
          </w:p>
        </w:tc>
        <w:tc>
          <w:tcPr>
            <w:tcW w:w="34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289"/>
              <w:spacing w:after="0" w:line="150" w:lineRule="exact"/>
              <w:rPr>
                <w:sz w:val="20"/>
                <w:szCs w:val="20"/>
                <w:color w:val="auto"/>
              </w:rPr>
            </w:pPr>
            <w:r>
              <w:rPr>
                <w:rFonts w:ascii="Arial" w:cs="Arial" w:eastAsia="Arial" w:hAnsi="Arial"/>
                <w:sz w:val="15"/>
                <w:szCs w:val="15"/>
                <w:b w:val="1"/>
                <w:bCs w:val="1"/>
                <w:color w:val="auto"/>
              </w:rPr>
              <w:t>397,583</w:t>
            </w:r>
          </w:p>
        </w:tc>
        <w:tc>
          <w:tcPr>
            <w:tcW w:w="20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397,479</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USD Revolving credit borrowing</w:t>
            </w:r>
          </w:p>
        </w:tc>
        <w:tc>
          <w:tcPr>
            <w:tcW w:w="340" w:type="dxa"/>
            <w:vAlign w:val="bottom"/>
          </w:tcPr>
          <w:p>
            <w:pPr>
              <w:spacing w:after="0"/>
              <w:rPr>
                <w:sz w:val="15"/>
                <w:szCs w:val="15"/>
                <w:color w:val="auto"/>
              </w:rPr>
            </w:pPr>
          </w:p>
        </w:tc>
        <w:tc>
          <w:tcPr>
            <w:tcW w:w="1460" w:type="dxa"/>
            <w:vAlign w:val="bottom"/>
          </w:tcPr>
          <w:p>
            <w:pPr>
              <w:jc w:val="right"/>
              <w:ind w:right="289"/>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240,121</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AUD Revolving credit borrowing</w:t>
            </w:r>
          </w:p>
        </w:tc>
        <w:tc>
          <w:tcPr>
            <w:tcW w:w="340" w:type="dxa"/>
            <w:vAlign w:val="bottom"/>
          </w:tcPr>
          <w:p>
            <w:pPr>
              <w:spacing w:after="0"/>
              <w:rPr>
                <w:sz w:val="15"/>
                <w:szCs w:val="15"/>
                <w:color w:val="auto"/>
              </w:rPr>
            </w:pPr>
          </w:p>
        </w:tc>
        <w:tc>
          <w:tcPr>
            <w:tcW w:w="1460" w:type="dxa"/>
            <w:vAlign w:val="bottom"/>
          </w:tcPr>
          <w:p>
            <w:pPr>
              <w:jc w:val="right"/>
              <w:ind w:right="289"/>
              <w:spacing w:after="0"/>
              <w:rPr>
                <w:sz w:val="20"/>
                <w:szCs w:val="20"/>
                <w:color w:val="auto"/>
              </w:rPr>
            </w:pPr>
            <w:r>
              <w:rPr>
                <w:rFonts w:ascii="Arial" w:cs="Arial" w:eastAsia="Arial" w:hAnsi="Arial"/>
                <w:sz w:val="15"/>
                <w:szCs w:val="15"/>
                <w:b w:val="1"/>
                <w:bCs w:val="1"/>
                <w:color w:val="auto"/>
              </w:rPr>
              <w:t>52,082</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51,915</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Other indebtedness</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7,230</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7,196</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b w:val="1"/>
                <w:bCs w:val="1"/>
                <w:color w:val="auto"/>
              </w:rPr>
              <w:t>Total Debt</w:t>
            </w:r>
          </w:p>
        </w:tc>
        <w:tc>
          <w:tcPr>
            <w:tcW w:w="340" w:type="dxa"/>
            <w:vAlign w:val="bottom"/>
          </w:tcPr>
          <w:p>
            <w:pPr>
              <w:spacing w:after="0"/>
              <w:rPr>
                <w:sz w:val="13"/>
                <w:szCs w:val="13"/>
                <w:color w:val="auto"/>
              </w:rPr>
            </w:pPr>
          </w:p>
        </w:tc>
        <w:tc>
          <w:tcPr>
            <w:tcW w:w="1460" w:type="dxa"/>
            <w:vAlign w:val="bottom"/>
          </w:tcPr>
          <w:p>
            <w:pPr>
              <w:jc w:val="right"/>
              <w:ind w:right="289"/>
              <w:spacing w:after="0" w:line="150" w:lineRule="exact"/>
              <w:rPr>
                <w:sz w:val="20"/>
                <w:szCs w:val="20"/>
                <w:color w:val="auto"/>
              </w:rPr>
            </w:pPr>
            <w:r>
              <w:rPr>
                <w:rFonts w:ascii="Arial" w:cs="Arial" w:eastAsia="Arial" w:hAnsi="Arial"/>
                <w:sz w:val="15"/>
                <w:szCs w:val="15"/>
                <w:b w:val="1"/>
                <w:bCs w:val="1"/>
                <w:color w:val="auto"/>
              </w:rPr>
              <w:t>456,895</w:t>
            </w:r>
          </w:p>
        </w:tc>
        <w:tc>
          <w:tcPr>
            <w:tcW w:w="200" w:type="dxa"/>
            <w:vAlign w:val="bottom"/>
          </w:tcPr>
          <w:p>
            <w:pPr>
              <w:spacing w:after="0"/>
              <w:rPr>
                <w:sz w:val="13"/>
                <w:szCs w:val="13"/>
                <w:color w:val="auto"/>
              </w:rPr>
            </w:pP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696,711</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Less: current portion</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(3,169)</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(243,327)</w:t>
            </w: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b w:val="1"/>
                <w:bCs w:val="1"/>
                <w:color w:val="auto"/>
              </w:rPr>
              <w:t>Total Long-Term Debt</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289"/>
              <w:spacing w:after="0" w:line="167" w:lineRule="exact"/>
              <w:rPr>
                <w:sz w:val="20"/>
                <w:szCs w:val="20"/>
                <w:color w:val="auto"/>
              </w:rPr>
            </w:pPr>
            <w:r>
              <w:rPr>
                <w:rFonts w:ascii="Arial" w:cs="Arial" w:eastAsia="Arial" w:hAnsi="Arial"/>
                <w:sz w:val="15"/>
                <w:szCs w:val="15"/>
                <w:b w:val="1"/>
                <w:bCs w:val="1"/>
                <w:color w:val="auto"/>
              </w:rPr>
              <w:t>453,726</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453,384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Company’s other indebtedness at March 31, 2013 and December 31, 2012 is at interest rates from 0% to 6% and matures from 2013 to 2017.</w:t>
      </w:r>
    </w:p>
    <w:p>
      <w:pPr>
        <w:spacing w:after="0" w:line="177" w:lineRule="exact"/>
        <w:rPr>
          <w:sz w:val="20"/>
          <w:szCs w:val="20"/>
          <w:color w:val="auto"/>
        </w:rPr>
      </w:pPr>
    </w:p>
    <w:p>
      <w:pPr>
        <w:jc w:val="both"/>
        <w:ind w:right="300"/>
        <w:spacing w:after="0" w:line="233" w:lineRule="auto"/>
        <w:rPr>
          <w:sz w:val="20"/>
          <w:szCs w:val="20"/>
          <w:color w:val="auto"/>
        </w:rPr>
      </w:pPr>
      <w:r>
        <w:rPr>
          <w:rFonts w:ascii="Arial" w:cs="Arial" w:eastAsia="Arial" w:hAnsi="Arial"/>
          <w:sz w:val="17"/>
          <w:szCs w:val="17"/>
          <w:color w:val="auto"/>
        </w:rPr>
        <w:t>During the three months ended March 31, 2013 and March 31, 2012, the Company had average borrowings outstanding of approximately $516.7 million and $484.5 million, respectively, at average annual interest rates of approximately 7.0%. During the three months ended March 31, 2013 and March 31, 2012, the Company incurred net interest expense of $8.5 million and $8.1 million, respectively.</w:t>
      </w:r>
    </w:p>
    <w:p>
      <w:pPr>
        <w:spacing w:after="0" w:line="175"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At March 31, 2013, the fair value of the Company’s 7.25% unsecured notes, based on quoted market prices, totaled $471.5 million, compared with the carrying amount of $397.6 million. At December 31, 2012, the fair value of the Company’s 7.25% unsecured notes, based on quoted market prices, totaled $481.4 million, compared with the carrying amount of $397.5 million. The carrying value of the Company’s other unsecured debt at March 31, 2013 approximates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197"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13" w:name="page14"/>
    <w:bookmarkEnd w:id="13"/>
    <w:p>
      <w:pPr>
        <w:ind w:left="1"/>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7120" w:type="dxa"/>
            <w:vAlign w:val="bottom"/>
          </w:tcPr>
          <w:p>
            <w:pPr>
              <w:spacing w:after="0" w:line="150" w:lineRule="exact"/>
              <w:rPr>
                <w:sz w:val="20"/>
                <w:szCs w:val="20"/>
                <w:color w:val="auto"/>
              </w:rPr>
            </w:pPr>
            <w:r>
              <w:rPr>
                <w:rFonts w:ascii="Arial" w:cs="Arial" w:eastAsia="Arial" w:hAnsi="Arial"/>
                <w:sz w:val="15"/>
                <w:szCs w:val="15"/>
                <w:b w:val="1"/>
                <w:bCs w:val="1"/>
                <w:color w:val="auto"/>
              </w:rPr>
              <w:t>As of March 31, 2013</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190,915</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190,915</w:t>
            </w:r>
          </w:p>
        </w:tc>
        <w:tc>
          <w:tcPr>
            <w:tcW w:w="0" w:type="dxa"/>
            <w:vAlign w:val="bottom"/>
          </w:tcPr>
          <w:p>
            <w:pPr>
              <w:spacing w:after="0"/>
              <w:rPr>
                <w:sz w:val="1"/>
                <w:szCs w:val="1"/>
                <w:color w:val="auto"/>
              </w:rPr>
            </w:pPr>
          </w:p>
        </w:tc>
      </w:tr>
      <w:tr>
        <w:trPr>
          <w:trHeight w:val="156"/>
        </w:trPr>
        <w:tc>
          <w:tcPr>
            <w:tcW w:w="7120" w:type="dxa"/>
            <w:vAlign w:val="bottom"/>
          </w:tcPr>
          <w:p>
            <w:pPr>
              <w:ind w:left="240"/>
              <w:spacing w:after="0" w:line="156" w:lineRule="exact"/>
              <w:rPr>
                <w:sz w:val="20"/>
                <w:szCs w:val="20"/>
                <w:color w:val="auto"/>
              </w:rPr>
            </w:pPr>
            <w:r>
              <w:rPr>
                <w:rFonts w:ascii="Arial" w:cs="Arial" w:eastAsia="Arial" w:hAnsi="Arial"/>
                <w:sz w:val="15"/>
                <w:szCs w:val="15"/>
                <w:color w:val="auto"/>
              </w:rPr>
              <w:t xml:space="preserve">Money market investments </w:t>
            </w:r>
            <w:r>
              <w:rPr>
                <w:rFonts w:ascii="Arial" w:cs="Arial" w:eastAsia="Arial" w:hAnsi="Arial"/>
                <w:sz w:val="11"/>
                <w:szCs w:val="11"/>
                <w:color w:val="auto"/>
              </w:rPr>
              <w:t>(1)</w:t>
            </w:r>
          </w:p>
        </w:tc>
        <w:tc>
          <w:tcPr>
            <w:tcW w:w="3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Marketable equity securities </w:t>
            </w:r>
            <w:r>
              <w:rPr>
                <w:rFonts w:ascii="Arial" w:cs="Arial" w:eastAsia="Arial" w:hAnsi="Arial"/>
                <w:sz w:val="11"/>
                <w:szCs w:val="11"/>
                <w:color w:val="auto"/>
              </w:rPr>
              <w:t>(2)</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427,101</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427,101</w:t>
            </w:r>
          </w:p>
        </w:tc>
        <w:tc>
          <w:tcPr>
            <w:tcW w:w="0" w:type="dxa"/>
            <w:vAlign w:val="bottom"/>
          </w:tcPr>
          <w:p>
            <w:pPr>
              <w:spacing w:after="0"/>
              <w:rPr>
                <w:sz w:val="1"/>
                <w:szCs w:val="1"/>
                <w:color w:val="auto"/>
              </w:rPr>
            </w:pPr>
          </w:p>
        </w:tc>
      </w:tr>
      <w:tr>
        <w:trPr>
          <w:trHeight w:val="190"/>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Other current investments </w:t>
            </w:r>
            <w:r>
              <w:rPr>
                <w:rFonts w:ascii="Arial" w:cs="Arial" w:eastAsia="Arial" w:hAnsi="Arial"/>
                <w:sz w:val="11"/>
                <w:szCs w:val="11"/>
                <w:color w:val="auto"/>
              </w:rPr>
              <w:t>(3)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14,495</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28,427</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42,922</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441,596</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219,342</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660,938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20" w:type="dxa"/>
            <w:vAlign w:val="bottom"/>
            <w:vMerge w:val="continue"/>
          </w:tcPr>
          <w:p>
            <w:pPr>
              <w:spacing w:after="0"/>
              <w:rPr>
                <w:sz w:val="24"/>
                <w:szCs w:val="2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60,919</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60,919</w:t>
            </w:r>
          </w:p>
        </w:tc>
        <w:tc>
          <w:tcPr>
            <w:tcW w:w="0" w:type="dxa"/>
            <w:vAlign w:val="bottom"/>
          </w:tcPr>
          <w:p>
            <w:pPr>
              <w:spacing w:after="0"/>
              <w:rPr>
                <w:sz w:val="1"/>
                <w:szCs w:val="1"/>
                <w:color w:val="auto"/>
              </w:rPr>
            </w:pPr>
          </w:p>
        </w:tc>
      </w:tr>
      <w:tr>
        <w:trPr>
          <w:trHeight w:val="156"/>
        </w:trPr>
        <w:tc>
          <w:tcPr>
            <w:tcW w:w="7120" w:type="dxa"/>
            <w:vAlign w:val="bottom"/>
          </w:tcPr>
          <w:p>
            <w:pPr>
              <w:ind w:left="240"/>
              <w:spacing w:after="0" w:line="156" w:lineRule="exact"/>
              <w:rPr>
                <w:sz w:val="20"/>
                <w:szCs w:val="20"/>
                <w:color w:val="auto"/>
              </w:rPr>
            </w:pPr>
            <w:r>
              <w:rPr>
                <w:rFonts w:ascii="Arial" w:cs="Arial" w:eastAsia="Arial" w:hAnsi="Arial"/>
                <w:sz w:val="15"/>
                <w:szCs w:val="15"/>
                <w:color w:val="auto"/>
              </w:rPr>
              <w:t xml:space="preserve">Deferred compensation plan liabilities </w:t>
            </w:r>
            <w:r>
              <w:rPr>
                <w:rFonts w:ascii="Arial" w:cs="Arial" w:eastAsia="Arial" w:hAnsi="Arial"/>
                <w:sz w:val="11"/>
                <w:szCs w:val="11"/>
                <w:color w:val="auto"/>
              </w:rPr>
              <w:t>(4)</w:t>
            </w:r>
          </w:p>
        </w:tc>
        <w:tc>
          <w:tcPr>
            <w:tcW w:w="3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7.25% unsecured notes </w:t>
            </w:r>
            <w:r>
              <w:rPr>
                <w:rFonts w:ascii="Arial" w:cs="Arial" w:eastAsia="Arial" w:hAnsi="Arial"/>
                <w:sz w:val="11"/>
                <w:szCs w:val="11"/>
                <w:color w:val="auto"/>
              </w:rPr>
              <w:t>(5)</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471,528</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471,528</w:t>
            </w: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AUD revolving credit borrowing </w:t>
            </w:r>
            <w:r>
              <w:rPr>
                <w:rFonts w:ascii="Arial" w:cs="Arial" w:eastAsia="Arial" w:hAnsi="Arial"/>
                <w:sz w:val="11"/>
                <w:szCs w:val="11"/>
                <w:color w:val="auto"/>
              </w:rPr>
              <w:t>(5)</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52,082</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52,082</w:t>
            </w:r>
          </w:p>
        </w:tc>
        <w:tc>
          <w:tcPr>
            <w:tcW w:w="0" w:type="dxa"/>
            <w:vAlign w:val="bottom"/>
          </w:tcPr>
          <w:p>
            <w:pPr>
              <w:spacing w:after="0"/>
              <w:rPr>
                <w:sz w:val="1"/>
                <w:szCs w:val="1"/>
                <w:color w:val="auto"/>
              </w:rPr>
            </w:pPr>
          </w:p>
        </w:tc>
      </w:tr>
      <w:tr>
        <w:trPr>
          <w:trHeight w:val="190"/>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Interest rate swap </w:t>
            </w:r>
            <w:r>
              <w:rPr>
                <w:rFonts w:ascii="Arial" w:cs="Arial" w:eastAsia="Arial" w:hAnsi="Arial"/>
                <w:sz w:val="11"/>
                <w:szCs w:val="11"/>
                <w:color w:val="auto"/>
              </w:rPr>
              <w:t>(6)</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1,537</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1,537</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586,066</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586,066</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As of December 31, 2012</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Money market investments </w:t>
            </w:r>
            <w:r>
              <w:rPr>
                <w:rFonts w:ascii="Arial" w:cs="Arial" w:eastAsia="Arial" w:hAnsi="Arial"/>
                <w:sz w:val="11"/>
                <w:szCs w:val="11"/>
                <w:color w:val="auto"/>
              </w:rPr>
              <w:t>(1)</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432,670</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432,670</w:t>
            </w: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Marketable equity securities </w:t>
            </w:r>
            <w:r>
              <w:rPr>
                <w:rFonts w:ascii="Arial" w:cs="Arial" w:eastAsia="Arial" w:hAnsi="Arial"/>
                <w:sz w:val="11"/>
                <w:szCs w:val="11"/>
                <w:color w:val="auto"/>
              </w:rPr>
              <w:t>(2)</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380,087</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380,087</w:t>
            </w:r>
          </w:p>
        </w:tc>
        <w:tc>
          <w:tcPr>
            <w:tcW w:w="0" w:type="dxa"/>
            <w:vAlign w:val="bottom"/>
          </w:tcPr>
          <w:p>
            <w:pPr>
              <w:spacing w:after="0"/>
              <w:rPr>
                <w:sz w:val="1"/>
                <w:szCs w:val="1"/>
                <w:color w:val="auto"/>
              </w:rPr>
            </w:pPr>
          </w:p>
        </w:tc>
      </w:tr>
      <w:tr>
        <w:trPr>
          <w:trHeight w:val="172"/>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Other current investments </w:t>
            </w:r>
            <w:r>
              <w:rPr>
                <w:rFonts w:ascii="Arial" w:cs="Arial" w:eastAsia="Arial" w:hAnsi="Arial"/>
                <w:sz w:val="11"/>
                <w:szCs w:val="11"/>
                <w:color w:val="auto"/>
              </w:rPr>
              <w:t>(3)</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14,134</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24,717</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38,851</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394,221</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457,387</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851,608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Deferred compensation plan liabilities </w:t>
            </w:r>
            <w:r>
              <w:rPr>
                <w:rFonts w:ascii="Arial" w:cs="Arial" w:eastAsia="Arial" w:hAnsi="Arial"/>
                <w:sz w:val="11"/>
                <w:szCs w:val="11"/>
                <w:color w:val="auto"/>
              </w:rPr>
              <w:t>(4)</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62,297</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62,297</w:t>
            </w: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7.25% unsecured notes </w:t>
            </w:r>
            <w:r>
              <w:rPr>
                <w:rFonts w:ascii="Arial" w:cs="Arial" w:eastAsia="Arial" w:hAnsi="Arial"/>
                <w:sz w:val="11"/>
                <w:szCs w:val="11"/>
                <w:color w:val="auto"/>
              </w:rPr>
              <w:t>(5)</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481,424</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481,424</w:t>
            </w:r>
          </w:p>
        </w:tc>
        <w:tc>
          <w:tcPr>
            <w:tcW w:w="0" w:type="dxa"/>
            <w:vAlign w:val="bottom"/>
          </w:tcPr>
          <w:p>
            <w:pPr>
              <w:spacing w:after="0"/>
              <w:rPr>
                <w:sz w:val="1"/>
                <w:szCs w:val="1"/>
                <w:color w:val="auto"/>
              </w:rPr>
            </w:pPr>
          </w:p>
        </w:tc>
      </w:tr>
      <w:tr>
        <w:trPr>
          <w:trHeight w:val="174"/>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AUD revolving credit borrowing </w:t>
            </w:r>
            <w:r>
              <w:rPr>
                <w:rFonts w:ascii="Arial" w:cs="Arial" w:eastAsia="Arial" w:hAnsi="Arial"/>
                <w:sz w:val="11"/>
                <w:szCs w:val="11"/>
                <w:color w:val="auto"/>
              </w:rPr>
              <w:t>(5)</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51,915</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51,915</w:t>
            </w:r>
          </w:p>
        </w:tc>
        <w:tc>
          <w:tcPr>
            <w:tcW w:w="0" w:type="dxa"/>
            <w:vAlign w:val="bottom"/>
          </w:tcPr>
          <w:p>
            <w:pPr>
              <w:spacing w:after="0"/>
              <w:rPr>
                <w:sz w:val="1"/>
                <w:szCs w:val="1"/>
                <w:color w:val="auto"/>
              </w:rPr>
            </w:pPr>
          </w:p>
        </w:tc>
      </w:tr>
      <w:tr>
        <w:trPr>
          <w:trHeight w:val="172"/>
        </w:trPr>
        <w:tc>
          <w:tcPr>
            <w:tcW w:w="7120" w:type="dxa"/>
            <w:vAlign w:val="bottom"/>
          </w:tcPr>
          <w:p>
            <w:pPr>
              <w:ind w:left="240"/>
              <w:spacing w:after="0"/>
              <w:rPr>
                <w:sz w:val="20"/>
                <w:szCs w:val="20"/>
                <w:color w:val="auto"/>
              </w:rPr>
            </w:pPr>
            <w:r>
              <w:rPr>
                <w:rFonts w:ascii="Arial" w:cs="Arial" w:eastAsia="Arial" w:hAnsi="Arial"/>
                <w:sz w:val="15"/>
                <w:szCs w:val="15"/>
                <w:color w:val="auto"/>
              </w:rPr>
              <w:t xml:space="preserve">Interest rate swap </w:t>
            </w:r>
            <w:r>
              <w:rPr>
                <w:rFonts w:ascii="Arial" w:cs="Arial" w:eastAsia="Arial" w:hAnsi="Arial"/>
                <w:sz w:val="11"/>
                <w:szCs w:val="11"/>
                <w:color w:val="auto"/>
              </w:rPr>
              <w:t>(6)</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1,567</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597,203</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597,203</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401" w:hanging="401"/>
        <w:spacing w:after="0"/>
        <w:tabs>
          <w:tab w:leader="none" w:pos="401"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Company’s money market investments are included in cash, cash equivalents and restricted cash.</w:t>
      </w:r>
    </w:p>
    <w:p>
      <w:pPr>
        <w:spacing w:after="0" w:line="23" w:lineRule="exact"/>
        <w:rPr>
          <w:rFonts w:ascii="Arial" w:cs="Arial" w:eastAsia="Arial" w:hAnsi="Arial"/>
          <w:sz w:val="12"/>
          <w:szCs w:val="12"/>
          <w:color w:val="auto"/>
        </w:rPr>
      </w:pPr>
    </w:p>
    <w:p>
      <w:pPr>
        <w:ind w:left="401" w:hanging="401"/>
        <w:spacing w:after="0"/>
        <w:tabs>
          <w:tab w:leader="none" w:pos="401"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401" w:hanging="401"/>
        <w:spacing w:after="0"/>
        <w:tabs>
          <w:tab w:leader="none" w:pos="401"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10" w:lineRule="exact"/>
        <w:rPr>
          <w:rFonts w:ascii="Arial" w:cs="Arial" w:eastAsia="Arial" w:hAnsi="Arial"/>
          <w:sz w:val="12"/>
          <w:szCs w:val="12"/>
          <w:color w:val="auto"/>
        </w:rPr>
      </w:pPr>
    </w:p>
    <w:p>
      <w:pPr>
        <w:ind w:left="401" w:right="140" w:hanging="401"/>
        <w:spacing w:after="0" w:line="255" w:lineRule="auto"/>
        <w:tabs>
          <w:tab w:leader="none" w:pos="389"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4" w:lineRule="exact"/>
        <w:rPr>
          <w:rFonts w:ascii="Arial" w:cs="Arial" w:eastAsia="Arial" w:hAnsi="Arial"/>
          <w:sz w:val="12"/>
          <w:szCs w:val="12"/>
          <w:color w:val="auto"/>
        </w:rPr>
      </w:pPr>
    </w:p>
    <w:p>
      <w:pPr>
        <w:ind w:left="401" w:hanging="401"/>
        <w:spacing w:after="0"/>
        <w:tabs>
          <w:tab w:leader="none" w:pos="401" w:val="left"/>
        </w:tabs>
        <w:numPr>
          <w:ilvl w:val="0"/>
          <w:numId w:val="7"/>
        </w:numPr>
        <w:rPr>
          <w:rFonts w:ascii="Arial" w:cs="Arial" w:eastAsia="Arial" w:hAnsi="Arial"/>
          <w:sz w:val="12"/>
          <w:szCs w:val="12"/>
          <w:color w:val="auto"/>
        </w:rPr>
      </w:pPr>
      <w:r>
        <w:rPr>
          <w:rFonts w:ascii="Arial" w:cs="Arial" w:eastAsia="Arial" w:hAnsi="Arial"/>
          <w:sz w:val="12"/>
          <w:szCs w:val="12"/>
          <w:color w:val="auto"/>
        </w:rPr>
        <w:t>See Note 6 for carrying amount of these notes and borrowing.</w:t>
      </w:r>
    </w:p>
    <w:p>
      <w:pPr>
        <w:spacing w:after="0" w:line="10" w:lineRule="exact"/>
        <w:rPr>
          <w:rFonts w:ascii="Arial" w:cs="Arial" w:eastAsia="Arial" w:hAnsi="Arial"/>
          <w:sz w:val="12"/>
          <w:szCs w:val="12"/>
          <w:color w:val="auto"/>
        </w:rPr>
      </w:pPr>
    </w:p>
    <w:p>
      <w:pPr>
        <w:ind w:left="401" w:hanging="401"/>
        <w:spacing w:after="0" w:line="247" w:lineRule="auto"/>
        <w:tabs>
          <w:tab w:leader="none" w:pos="389"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Included in Other liabilities. The Company utilized a market approach model using the notional amount of the interest rate swap multiplied by the observable inputs of time to maturity and market interest rates.</w:t>
      </w:r>
    </w:p>
    <w:p>
      <w:pPr>
        <w:spacing w:after="0" w:line="317" w:lineRule="exact"/>
        <w:rPr>
          <w:sz w:val="20"/>
          <w:szCs w:val="20"/>
          <w:color w:val="auto"/>
        </w:rPr>
      </w:pPr>
    </w:p>
    <w:p>
      <w:pPr>
        <w:ind w:left="1" w:right="200"/>
        <w:spacing w:after="0" w:line="233"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8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8.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earnings per share from continuing operations (basic and diluted) are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60" w:type="dxa"/>
            <w:vAlign w:val="bottom"/>
            <w:gridSpan w:val="3"/>
          </w:tcPr>
          <w:p>
            <w:pPr>
              <w:jc w:val="right"/>
              <w:ind w:right="727"/>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51"/>
        </w:trPr>
        <w:tc>
          <w:tcPr>
            <w:tcW w:w="85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5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per share amounts)</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8"/>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7"/>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858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 The Washington Post Company</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6,104</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tcPr>
          <w:p>
            <w:pPr>
              <w:ind w:left="240"/>
              <w:spacing w:after="0" w:line="156" w:lineRule="exact"/>
              <w:rPr>
                <w:sz w:val="20"/>
                <w:szCs w:val="20"/>
                <w:color w:val="auto"/>
              </w:rPr>
            </w:pPr>
            <w:r>
              <w:rPr>
                <w:rFonts w:ascii="Arial" w:cs="Arial" w:eastAsia="Arial" w:hAnsi="Arial"/>
                <w:sz w:val="15"/>
                <w:szCs w:val="15"/>
                <w:color w:val="auto"/>
              </w:rPr>
              <w:t>common stockholders</w:t>
            </w:r>
          </w:p>
        </w:tc>
        <w:tc>
          <w:tcPr>
            <w:tcW w:w="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13,459</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(160)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 The Washington Post Company</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5,944</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12,958</w:t>
            </w:r>
          </w:p>
        </w:tc>
        <w:tc>
          <w:tcPr>
            <w:tcW w:w="0" w:type="dxa"/>
            <w:vAlign w:val="bottom"/>
          </w:tcPr>
          <w:p>
            <w:pPr>
              <w:spacing w:after="0"/>
              <w:rPr>
                <w:sz w:val="1"/>
                <w:szCs w:val="1"/>
                <w:color w:val="auto"/>
              </w:rPr>
            </w:pPr>
          </w:p>
        </w:tc>
      </w:tr>
      <w:tr>
        <w:trPr>
          <w:trHeight w:val="172"/>
        </w:trPr>
        <w:tc>
          <w:tcPr>
            <w:tcW w:w="8580" w:type="dxa"/>
            <w:vAlign w:val="bottom"/>
          </w:tcPr>
          <w:p>
            <w:pPr>
              <w:ind w:left="240"/>
              <w:spacing w:after="0" w:line="167" w:lineRule="exact"/>
              <w:rPr>
                <w:sz w:val="20"/>
                <w:szCs w:val="20"/>
                <w:color w:val="auto"/>
              </w:rPr>
            </w:pPr>
            <w:r>
              <w:rPr>
                <w:rFonts w:ascii="Arial" w:cs="Arial" w:eastAsia="Arial" w:hAnsi="Arial"/>
                <w:sz w:val="15"/>
                <w:szCs w:val="15"/>
                <w:color w:val="auto"/>
              </w:rPr>
              <w:t>common stockholders</w:t>
            </w:r>
          </w:p>
        </w:tc>
        <w:tc>
          <w:tcPr>
            <w:tcW w:w="3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58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160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 The Washington Post Company</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6,104</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13,459</w:t>
            </w:r>
          </w:p>
        </w:tc>
        <w:tc>
          <w:tcPr>
            <w:tcW w:w="0" w:type="dxa"/>
            <w:vAlign w:val="bottom"/>
          </w:tcPr>
          <w:p>
            <w:pPr>
              <w:spacing w:after="0"/>
              <w:rPr>
                <w:sz w:val="1"/>
                <w:szCs w:val="1"/>
                <w:color w:val="auto"/>
              </w:rPr>
            </w:pPr>
          </w:p>
        </w:tc>
      </w:tr>
      <w:tr>
        <w:trPr>
          <w:trHeight w:val="172"/>
        </w:trPr>
        <w:tc>
          <w:tcPr>
            <w:tcW w:w="8580" w:type="dxa"/>
            <w:vAlign w:val="bottom"/>
          </w:tcPr>
          <w:p>
            <w:pPr>
              <w:ind w:left="240"/>
              <w:spacing w:after="0" w:line="167" w:lineRule="exact"/>
              <w:rPr>
                <w:sz w:val="20"/>
                <w:szCs w:val="20"/>
                <w:color w:val="auto"/>
              </w:rPr>
            </w:pPr>
            <w:r>
              <w:rPr>
                <w:rFonts w:ascii="Arial" w:cs="Arial" w:eastAsia="Arial" w:hAnsi="Arial"/>
                <w:sz w:val="15"/>
                <w:szCs w:val="15"/>
                <w:color w:val="auto"/>
              </w:rPr>
              <w:t>common stockholders</w:t>
            </w:r>
          </w:p>
        </w:tc>
        <w:tc>
          <w:tcPr>
            <w:tcW w:w="3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58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38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5"/>
                <w:szCs w:val="15"/>
                <w:b w:val="1"/>
                <w:bCs w:val="1"/>
                <w:color w:val="auto"/>
              </w:rPr>
              <w:t>7,227</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7,514</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Plus: Effect of dilutive shares related to stock options and restricted stock</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39</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66"/>
        </w:trPr>
        <w:tc>
          <w:tcPr>
            <w:tcW w:w="858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7,266</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7,615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 to The Washington Post Company</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0.82</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72"/>
        </w:trPr>
        <w:tc>
          <w:tcPr>
            <w:tcW w:w="8580" w:type="dxa"/>
            <w:vAlign w:val="bottom"/>
          </w:tcPr>
          <w:p>
            <w:pPr>
              <w:ind w:left="480"/>
              <w:spacing w:after="0" w:line="167" w:lineRule="exact"/>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80" w:type="dxa"/>
            <w:vAlign w:val="bottom"/>
          </w:tcPr>
          <w:p>
            <w:pPr>
              <w:ind w:left="480"/>
              <w:spacing w:after="0" w:line="151" w:lineRule="exact"/>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0.82</w:t>
            </w:r>
          </w:p>
        </w:tc>
        <w:tc>
          <w:tcPr>
            <w:tcW w:w="38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For the first quarter of 2013 and 2012, the basic earnings per share computed under the two-class method is lower than the diluted earnings per share computed under the if-converted method for participating securities, resulting in the presentation of the lower amount in diluted earnings per share. The first quarter of 2013 and 2012 diluted earnings per share amounts exclude the effects of 85,861 and 115,294 stock options outstanding, respectively, as their inclusion would be antidilutive. The first quarter of 2013 and 2012 diluted earnings per share amounts also exclude the effects of 52,200 and 7,500 restricted stock awards, respectively, as their inclusion would have been antidilutive.</w:t>
      </w:r>
    </w:p>
    <w:p>
      <w:pPr>
        <w:spacing w:after="0" w:line="176" w:lineRule="exact"/>
        <w:rPr>
          <w:sz w:val="20"/>
          <w:szCs w:val="20"/>
          <w:color w:val="auto"/>
        </w:rPr>
      </w:pPr>
    </w:p>
    <w:p>
      <w:pPr>
        <w:jc w:val="both"/>
        <w:ind w:right="500"/>
        <w:spacing w:after="0" w:line="233" w:lineRule="auto"/>
        <w:rPr>
          <w:sz w:val="20"/>
          <w:szCs w:val="20"/>
          <w:color w:val="auto"/>
        </w:rPr>
      </w:pPr>
      <w:r>
        <w:rPr>
          <w:rFonts w:ascii="Arial" w:cs="Arial" w:eastAsia="Arial" w:hAnsi="Arial"/>
          <w:sz w:val="17"/>
          <w:szCs w:val="17"/>
          <w:color w:val="auto"/>
        </w:rPr>
        <w:t>In the first quarter of 2012, the Company declared regular dividends totaling $ 4.90 per share. In December 2012, the Company declared and paid an accelerated cash dividend totaling $9.80 per share, in lieu of regular quarterly dividends that the Company otherwise would have declared and paid in calendar year 2013.</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PENSION AND POSTRETIREMENT PLANS</w:t>
      </w:r>
    </w:p>
    <w:p>
      <w:pPr>
        <w:spacing w:after="0" w:line="177"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b w:val="1"/>
          <w:bCs w:val="1"/>
          <w:color w:val="auto"/>
        </w:rPr>
        <w:t>Defined Benefit Plans</w:t>
      </w:r>
      <w:r>
        <w:rPr>
          <w:rFonts w:ascii="Arial" w:cs="Arial" w:eastAsia="Arial" w:hAnsi="Arial"/>
          <w:sz w:val="17"/>
          <w:szCs w:val="17"/>
          <w:color w:val="auto"/>
        </w:rPr>
        <w:t>. The total cost arising from the Company’s defined benefit pension plans, including a portion included in discontinued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the following components: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3"/>
          </w:tcPr>
          <w:p>
            <w:pPr>
              <w:jc w:val="center"/>
              <w:ind w:right="247"/>
              <w:spacing w:after="0"/>
              <w:rPr>
                <w:sz w:val="20"/>
                <w:szCs w:val="20"/>
                <w:color w:val="auto"/>
              </w:rPr>
            </w:pPr>
            <w:r>
              <w:rPr>
                <w:rFonts w:ascii="Arial" w:cs="Arial" w:eastAsia="Arial" w:hAnsi="Arial"/>
                <w:sz w:val="12"/>
                <w:szCs w:val="12"/>
                <w:b w:val="1"/>
                <w:bCs w:val="1"/>
                <w:color w:val="auto"/>
              </w:rPr>
              <w:t>Supplemental Executive</w:t>
            </w:r>
          </w:p>
        </w:tc>
      </w:tr>
      <w:tr>
        <w:trPr>
          <w:trHeight w:val="15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2"/>
                <w:szCs w:val="12"/>
                <w:b w:val="1"/>
                <w:bCs w:val="1"/>
                <w:color w:val="auto"/>
              </w:rPr>
              <w:t>Pension Plan</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2"/>
                <w:szCs w:val="12"/>
                <w:b w:val="1"/>
                <w:bCs w:val="1"/>
                <w:color w:val="auto"/>
              </w:rPr>
              <w:t>Retirement Plan</w:t>
            </w:r>
          </w:p>
        </w:tc>
        <w:tc>
          <w:tcPr>
            <w:tcW w:w="820" w:type="dxa"/>
            <w:vAlign w:val="bottom"/>
            <w:tcBorders>
              <w:bottom w:val="single" w:sz="8" w:color="auto"/>
            </w:tcBorders>
          </w:tcPr>
          <w:p>
            <w:pPr>
              <w:spacing w:after="0"/>
              <w:rPr>
                <w:sz w:val="13"/>
                <w:szCs w:val="13"/>
                <w:color w:val="auto"/>
              </w:rPr>
            </w:pPr>
          </w:p>
        </w:tc>
      </w:tr>
      <w:tr>
        <w:trPr>
          <w:trHeight w:val="129"/>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3"/>
          </w:tcPr>
          <w:p>
            <w:pPr>
              <w:jc w:val="right"/>
              <w:ind w:right="447"/>
              <w:spacing w:after="0" w:line="129" w:lineRule="exact"/>
              <w:rPr>
                <w:sz w:val="20"/>
                <w:szCs w:val="20"/>
                <w:color w:val="auto"/>
              </w:rPr>
            </w:pPr>
            <w:r>
              <w:rPr>
                <w:rFonts w:ascii="Arial" w:cs="Arial" w:eastAsia="Arial" w:hAnsi="Arial"/>
                <w:sz w:val="12"/>
                <w:szCs w:val="12"/>
                <w:b w:val="1"/>
                <w:bCs w:val="1"/>
                <w:color w:val="auto"/>
              </w:rPr>
              <w:t>Three Months Ended March 31,</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tcPr>
          <w:p>
            <w:pPr>
              <w:jc w:val="center"/>
              <w:ind w:right="247"/>
              <w:spacing w:after="0" w:line="129" w:lineRule="exact"/>
              <w:rPr>
                <w:sz w:val="20"/>
                <w:szCs w:val="20"/>
                <w:color w:val="auto"/>
              </w:rPr>
            </w:pPr>
            <w:r>
              <w:rPr>
                <w:rFonts w:ascii="Arial" w:cs="Arial" w:eastAsia="Arial" w:hAnsi="Arial"/>
                <w:sz w:val="12"/>
                <w:szCs w:val="12"/>
                <w:b w:val="1"/>
                <w:bCs w:val="1"/>
                <w:color w:val="auto"/>
              </w:rPr>
              <w:t>Three Months Ended March 31,</w:t>
            </w:r>
          </w:p>
        </w:tc>
      </w:tr>
      <w:tr>
        <w:trPr>
          <w:trHeight w:val="129"/>
        </w:trPr>
        <w:tc>
          <w:tcPr>
            <w:tcW w:w="57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9"/>
              <w:spacing w:after="0" w:line="129" w:lineRule="exact"/>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7"/>
              <w:spacing w:after="0" w:line="129" w:lineRule="exact"/>
              <w:rPr>
                <w:sz w:val="20"/>
                <w:szCs w:val="20"/>
                <w:color w:val="auto"/>
              </w:rPr>
            </w:pPr>
            <w:r>
              <w:rPr>
                <w:rFonts w:ascii="Arial" w:cs="Arial" w:eastAsia="Arial" w:hAnsi="Arial"/>
                <w:sz w:val="12"/>
                <w:szCs w:val="12"/>
                <w:color w:val="auto"/>
              </w:rPr>
              <w:t>2012</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30"/>
              <w:spacing w:after="0" w:line="129" w:lineRule="exact"/>
              <w:rPr>
                <w:sz w:val="20"/>
                <w:szCs w:val="20"/>
                <w:color w:val="auto"/>
              </w:rPr>
            </w:pPr>
            <w:r>
              <w:rPr>
                <w:rFonts w:ascii="Arial" w:cs="Arial" w:eastAsia="Arial" w:hAnsi="Arial"/>
                <w:sz w:val="12"/>
                <w:szCs w:val="12"/>
                <w:b w:val="1"/>
                <w:bCs w:val="1"/>
                <w:color w:val="auto"/>
              </w:rPr>
              <w:t>2013</w:t>
            </w: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27"/>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300" w:type="dxa"/>
            <w:vAlign w:val="bottom"/>
            <w:gridSpan w:val="2"/>
          </w:tcPr>
          <w:p>
            <w:pPr>
              <w:jc w:val="right"/>
              <w:ind w:right="172"/>
              <w:spacing w:after="0" w:line="150"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13,365</w:t>
            </w:r>
          </w:p>
        </w:tc>
        <w:tc>
          <w:tcPr>
            <w:tcW w:w="50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0" w:lineRule="exact"/>
              <w:rPr>
                <w:sz w:val="20"/>
                <w:szCs w:val="20"/>
                <w:color w:val="auto"/>
              </w:rPr>
            </w:pPr>
            <w:r>
              <w:rPr>
                <w:rFonts w:ascii="Arial" w:cs="Arial" w:eastAsia="Arial" w:hAnsi="Arial"/>
                <w:sz w:val="15"/>
                <w:szCs w:val="15"/>
                <w:color w:val="auto"/>
              </w:rPr>
              <w:t>9,107</w:t>
            </w:r>
          </w:p>
        </w:tc>
        <w:tc>
          <w:tcPr>
            <w:tcW w:w="120" w:type="dxa"/>
            <w:vAlign w:val="bottom"/>
          </w:tcPr>
          <w:p>
            <w:pPr>
              <w:spacing w:after="0"/>
              <w:rPr>
                <w:sz w:val="13"/>
                <w:szCs w:val="13"/>
                <w:color w:val="auto"/>
              </w:rPr>
            </w:pPr>
          </w:p>
        </w:tc>
        <w:tc>
          <w:tcPr>
            <w:tcW w:w="32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429</w:t>
            </w:r>
          </w:p>
        </w:tc>
        <w:tc>
          <w:tcPr>
            <w:tcW w:w="48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50" w:lineRule="exact"/>
              <w:rPr>
                <w:sz w:val="20"/>
                <w:szCs w:val="20"/>
                <w:color w:val="auto"/>
              </w:rPr>
            </w:pPr>
            <w:r>
              <w:rPr>
                <w:rFonts w:ascii="Arial" w:cs="Arial" w:eastAsia="Arial" w:hAnsi="Arial"/>
                <w:sz w:val="15"/>
                <w:szCs w:val="15"/>
                <w:color w:val="auto"/>
              </w:rPr>
              <w:t>367</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Interest cost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5"/>
                <w:szCs w:val="15"/>
                <w:b w:val="1"/>
                <w:bCs w:val="1"/>
                <w:color w:val="auto"/>
              </w:rPr>
              <w:t>14,291</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14,591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1,023</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1,060</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Expected return on assets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5"/>
                <w:szCs w:val="15"/>
                <w:b w:val="1"/>
                <w:bCs w:val="1"/>
                <w:color w:val="auto"/>
              </w:rPr>
              <w:t>(26,322)</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(24,012)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5"/>
                <w:szCs w:val="15"/>
                <w:b w:val="1"/>
                <w:bCs w:val="1"/>
                <w:color w:val="auto"/>
              </w:rPr>
              <w:t>909</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937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5"/>
                <w:szCs w:val="15"/>
                <w:b w:val="1"/>
                <w:bCs w:val="1"/>
                <w:color w:val="auto"/>
              </w:rPr>
              <w:t>14</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2,147</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1,569</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711</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Cost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4,390</w:t>
            </w:r>
          </w:p>
        </w:tc>
        <w:tc>
          <w:tcPr>
            <w:tcW w:w="500" w:type="dxa"/>
            <w:vAlign w:val="bottom"/>
          </w:tcPr>
          <w:p>
            <w:pPr>
              <w:spacing w:after="0"/>
              <w:rPr>
                <w:sz w:val="13"/>
                <w:szCs w:val="13"/>
                <w:color w:val="auto"/>
              </w:rPr>
            </w:pPr>
          </w:p>
        </w:tc>
        <w:tc>
          <w:tcPr>
            <w:tcW w:w="940" w:type="dxa"/>
            <w:vAlign w:val="bottom"/>
          </w:tcPr>
          <w:p>
            <w:pPr>
              <w:jc w:val="right"/>
              <w:spacing w:after="0" w:line="150" w:lineRule="exact"/>
              <w:rPr>
                <w:sz w:val="20"/>
                <w:szCs w:val="20"/>
                <w:color w:val="auto"/>
              </w:rPr>
            </w:pPr>
            <w:r>
              <w:rPr>
                <w:rFonts w:ascii="Arial" w:cs="Arial" w:eastAsia="Arial" w:hAnsi="Arial"/>
                <w:sz w:val="15"/>
                <w:szCs w:val="15"/>
                <w:color w:val="auto"/>
              </w:rPr>
              <w:t>2,192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2,177</w:t>
            </w:r>
          </w:p>
        </w:tc>
        <w:tc>
          <w:tcPr>
            <w:tcW w:w="48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5"/>
                <w:szCs w:val="15"/>
                <w:color w:val="auto"/>
              </w:rPr>
              <w:t>1,899</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Early retirement program expense</w:t>
            </w: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14,258</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18,648</w:t>
            </w:r>
          </w:p>
        </w:tc>
        <w:tc>
          <w:tcPr>
            <w:tcW w:w="50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3,214</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2,177</w:t>
            </w:r>
          </w:p>
        </w:tc>
        <w:tc>
          <w:tcPr>
            <w:tcW w:w="480" w:type="dxa"/>
            <w:vAlign w:val="bottom"/>
            <w:tcBorders>
              <w:bottom w:val="single" w:sz="8" w:color="auto"/>
            </w:tcBorders>
          </w:tcPr>
          <w:p>
            <w:pPr>
              <w:jc w:val="right"/>
              <w:ind w:right="24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1,899</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The Company announced a Voluntary Retirement Incentive Program in February 2013, which was offered to certain employees of the Washington Post newspaper. The early retirement program expense is estimated at $20.4 million. Of this amount, $12.0 million was recorded in the first quarter of 2013 and the remainder will be recorded in the second quarter of 2013. In addition, the Washington Post newspaper recorded $2.3 million in special separation benefits for a group of employees. The early retirement program expense and special separation benefits for these programs will be funded from the assets of the Company’s pension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15" w:name="page16"/>
    <w:bookmarkEnd w:id="15"/>
    <w:p>
      <w:pPr>
        <w:jc w:val="both"/>
        <w:ind w:right="280"/>
        <w:spacing w:after="0" w:line="233" w:lineRule="auto"/>
        <w:rPr>
          <w:sz w:val="20"/>
          <w:szCs w:val="20"/>
          <w:color w:val="auto"/>
        </w:rPr>
      </w:pPr>
      <w:r>
        <w:rPr>
          <w:rFonts w:ascii="Arial" w:cs="Arial" w:eastAsia="Arial" w:hAnsi="Arial"/>
          <w:sz w:val="17"/>
          <w:szCs w:val="17"/>
          <w:color w:val="auto"/>
        </w:rPr>
        <w:t>In the first quarter of 2012, the Company offered a Voluntary Retirement Incentive Program to certain employees of Post-Newsweek Media and recorded early retirement program expense of $1.0 million. The early retirement program expense for these programs is funded from the assets of the Company’s pension plan.</w:t>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Defined Benefit Plan Assets</w:t>
      </w:r>
      <w:r>
        <w:rPr>
          <w:rFonts w:ascii="Arial" w:cs="Arial" w:eastAsia="Arial" w:hAnsi="Arial"/>
          <w:sz w:val="16"/>
          <w:szCs w:val="16"/>
          <w:color w:val="auto"/>
        </w:rPr>
        <w:t>. The Company’s defined benefit pension obligations are funded by a portfolio made up of a relatively small number of stocks</w:t>
      </w:r>
      <w:r>
        <w:rPr>
          <w:rFonts w:ascii="Arial" w:cs="Arial" w:eastAsia="Arial" w:hAnsi="Arial"/>
          <w:sz w:val="16"/>
          <w:szCs w:val="16"/>
          <w:b w:val="1"/>
          <w:bCs w:val="1"/>
          <w:color w:val="auto"/>
        </w:rPr>
        <w:t xml:space="preserve"> </w:t>
      </w:r>
      <w:r>
        <w:rPr>
          <w:rFonts w:ascii="Arial" w:cs="Arial" w:eastAsia="Arial" w:hAnsi="Arial"/>
          <w:sz w:val="16"/>
          <w:szCs w:val="16"/>
          <w:color w:val="auto"/>
        </w:rPr>
        <w:t>and high-quality fixed-income securities that are held by a third-party trustee. The assets of the Company’s pension plan were allocated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471"/>
              <w:spacing w:after="0"/>
              <w:rPr>
                <w:sz w:val="20"/>
                <w:szCs w:val="20"/>
                <w:color w:val="auto"/>
              </w:rPr>
            </w:pPr>
            <w:r>
              <w:rPr>
                <w:rFonts w:ascii="Arial" w:cs="Arial" w:eastAsia="Arial" w:hAnsi="Arial"/>
                <w:sz w:val="12"/>
                <w:szCs w:val="12"/>
                <w:b w:val="1"/>
                <w:bCs w:val="1"/>
                <w:color w:val="auto"/>
              </w:rPr>
              <w:t>As of</w:t>
            </w:r>
          </w:p>
        </w:tc>
      </w:tr>
      <w:tr>
        <w:trPr>
          <w:trHeight w:val="114"/>
        </w:trPr>
        <w:tc>
          <w:tcPr>
            <w:tcW w:w="8020" w:type="dxa"/>
            <w:vAlign w:val="bottom"/>
          </w:tcPr>
          <w:p>
            <w:pPr>
              <w:spacing w:after="0"/>
              <w:rPr>
                <w:sz w:val="9"/>
                <w:szCs w:val="9"/>
                <w:color w:val="auto"/>
              </w:rPr>
            </w:pPr>
          </w:p>
        </w:tc>
        <w:tc>
          <w:tcPr>
            <w:tcW w:w="1520" w:type="dxa"/>
            <w:vAlign w:val="bottom"/>
          </w:tcPr>
          <w:p>
            <w:pPr>
              <w:jc w:val="right"/>
              <w:ind w:right="370"/>
              <w:spacing w:after="0" w:line="114" w:lineRule="exact"/>
              <w:rPr>
                <w:sz w:val="20"/>
                <w:szCs w:val="20"/>
                <w:color w:val="auto"/>
              </w:rPr>
            </w:pPr>
            <w:r>
              <w:rPr>
                <w:rFonts w:ascii="Arial" w:cs="Arial" w:eastAsia="Arial" w:hAnsi="Arial"/>
                <w:sz w:val="12"/>
                <w:szCs w:val="12"/>
                <w:b w:val="1"/>
                <w:bCs w:val="1"/>
                <w:color w:val="auto"/>
              </w:rPr>
              <w:t>March 31,</w:t>
            </w:r>
          </w:p>
        </w:tc>
        <w:tc>
          <w:tcPr>
            <w:tcW w:w="1880" w:type="dxa"/>
            <w:vAlign w:val="bottom"/>
          </w:tcPr>
          <w:p>
            <w:pPr>
              <w:jc w:val="right"/>
              <w:ind w:right="331"/>
              <w:spacing w:after="0" w:line="114" w:lineRule="exact"/>
              <w:rPr>
                <w:sz w:val="20"/>
                <w:szCs w:val="20"/>
                <w:color w:val="auto"/>
              </w:rPr>
            </w:pPr>
            <w:r>
              <w:rPr>
                <w:rFonts w:ascii="Arial" w:cs="Arial" w:eastAsia="Arial" w:hAnsi="Arial"/>
                <w:sz w:val="12"/>
                <w:szCs w:val="12"/>
                <w:color w:val="auto"/>
              </w:rPr>
              <w:t>December 31,</w:t>
            </w:r>
          </w:p>
        </w:tc>
      </w:tr>
      <w:tr>
        <w:trPr>
          <w:trHeight w:val="151"/>
        </w:trPr>
        <w:tc>
          <w:tcPr>
            <w:tcW w:w="80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2013</w:t>
            </w:r>
          </w:p>
        </w:tc>
        <w:tc>
          <w:tcPr>
            <w:tcW w:w="18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color w:val="auto"/>
              </w:rPr>
              <w:t>2012</w:t>
            </w:r>
          </w:p>
        </w:tc>
      </w:tr>
      <w:tr>
        <w:trPr>
          <w:trHeight w:val="150"/>
        </w:trPr>
        <w:tc>
          <w:tcPr>
            <w:tcW w:w="8020" w:type="dxa"/>
            <w:vAlign w:val="bottom"/>
          </w:tcPr>
          <w:p>
            <w:pPr>
              <w:spacing w:after="0" w:line="150" w:lineRule="exact"/>
              <w:rPr>
                <w:sz w:val="20"/>
                <w:szCs w:val="20"/>
                <w:color w:val="auto"/>
              </w:rPr>
            </w:pPr>
            <w:r>
              <w:rPr>
                <w:rFonts w:ascii="Arial" w:cs="Arial" w:eastAsia="Arial" w:hAnsi="Arial"/>
                <w:sz w:val="15"/>
                <w:szCs w:val="15"/>
                <w:color w:val="auto"/>
              </w:rPr>
              <w:t>U.S. equities</w:t>
            </w:r>
          </w:p>
        </w:tc>
        <w:tc>
          <w:tcPr>
            <w:tcW w:w="15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64 %</w:t>
            </w:r>
          </w:p>
        </w:tc>
        <w:tc>
          <w:tcPr>
            <w:tcW w:w="1880" w:type="dxa"/>
            <w:vAlign w:val="bottom"/>
          </w:tcPr>
          <w:p>
            <w:pPr>
              <w:jc w:val="right"/>
              <w:ind w:right="11"/>
              <w:spacing w:after="0" w:line="150" w:lineRule="exact"/>
              <w:rPr>
                <w:sz w:val="20"/>
                <w:szCs w:val="20"/>
                <w:color w:val="auto"/>
              </w:rPr>
            </w:pPr>
            <w:r>
              <w:rPr>
                <w:rFonts w:ascii="Arial" w:cs="Arial" w:eastAsia="Arial" w:hAnsi="Arial"/>
                <w:sz w:val="15"/>
                <w:szCs w:val="15"/>
                <w:color w:val="auto"/>
              </w:rPr>
              <w:t>64 %</w:t>
            </w:r>
          </w:p>
        </w:tc>
      </w:tr>
      <w:tr>
        <w:trPr>
          <w:trHeight w:val="174"/>
        </w:trPr>
        <w:tc>
          <w:tcPr>
            <w:tcW w:w="8020" w:type="dxa"/>
            <w:vAlign w:val="bottom"/>
          </w:tcPr>
          <w:p>
            <w:pPr>
              <w:spacing w:after="0"/>
              <w:rPr>
                <w:sz w:val="20"/>
                <w:szCs w:val="20"/>
                <w:color w:val="auto"/>
              </w:rPr>
            </w:pPr>
            <w:r>
              <w:rPr>
                <w:rFonts w:ascii="Arial" w:cs="Arial" w:eastAsia="Arial" w:hAnsi="Arial"/>
                <w:sz w:val="15"/>
                <w:szCs w:val="15"/>
                <w:color w:val="auto"/>
              </w:rPr>
              <w:t>U.S. fixed income</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11 %</w:t>
            </w:r>
          </w:p>
        </w:tc>
        <w:tc>
          <w:tcPr>
            <w:tcW w:w="1880" w:type="dxa"/>
            <w:vAlign w:val="bottom"/>
          </w:tcPr>
          <w:p>
            <w:pPr>
              <w:jc w:val="right"/>
              <w:ind w:right="11"/>
              <w:spacing w:after="0"/>
              <w:rPr>
                <w:sz w:val="20"/>
                <w:szCs w:val="20"/>
                <w:color w:val="auto"/>
              </w:rPr>
            </w:pPr>
            <w:r>
              <w:rPr>
                <w:rFonts w:ascii="Arial" w:cs="Arial" w:eastAsia="Arial" w:hAnsi="Arial"/>
                <w:sz w:val="15"/>
                <w:szCs w:val="15"/>
                <w:color w:val="auto"/>
              </w:rPr>
              <w:t>13 %</w:t>
            </w:r>
          </w:p>
        </w:tc>
      </w:tr>
      <w:tr>
        <w:trPr>
          <w:trHeight w:val="190"/>
        </w:trPr>
        <w:tc>
          <w:tcPr>
            <w:tcW w:w="8020" w:type="dxa"/>
            <w:vAlign w:val="bottom"/>
          </w:tcPr>
          <w:p>
            <w:pPr>
              <w:spacing w:after="0"/>
              <w:rPr>
                <w:sz w:val="20"/>
                <w:szCs w:val="20"/>
                <w:color w:val="auto"/>
              </w:rPr>
            </w:pPr>
            <w:r>
              <w:rPr>
                <w:rFonts w:ascii="Arial" w:cs="Arial" w:eastAsia="Arial" w:hAnsi="Arial"/>
                <w:sz w:val="15"/>
                <w:szCs w:val="15"/>
                <w:color w:val="auto"/>
              </w:rPr>
              <w:t>International equities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25 %</w:t>
            </w: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23 %</w:t>
            </w:r>
          </w:p>
        </w:tc>
      </w:tr>
      <w:tr>
        <w:trPr>
          <w:trHeight w:val="166"/>
        </w:trPr>
        <w:tc>
          <w:tcPr>
            <w:tcW w:w="8020" w:type="dxa"/>
            <w:vAlign w:val="bottom"/>
          </w:tcPr>
          <w:p>
            <w:pPr>
              <w:spacing w:after="0"/>
              <w:rPr>
                <w:sz w:val="14"/>
                <w:szCs w:val="14"/>
                <w:color w:val="auto"/>
              </w:rPr>
            </w:pPr>
          </w:p>
        </w:tc>
        <w:tc>
          <w:tcPr>
            <w:tcW w:w="1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100 %</w:t>
            </w:r>
          </w:p>
        </w:tc>
        <w:tc>
          <w:tcPr>
            <w:tcW w:w="1880" w:type="dxa"/>
            <w:vAlign w:val="bottom"/>
            <w:tcBorders>
              <w:bottom w:val="single" w:sz="8" w:color="auto"/>
            </w:tcBorders>
          </w:tcPr>
          <w:p>
            <w:pPr>
              <w:jc w:val="right"/>
              <w:ind w:right="11"/>
              <w:spacing w:after="0" w:line="167" w:lineRule="exact"/>
              <w:rPr>
                <w:sz w:val="20"/>
                <w:szCs w:val="20"/>
                <w:color w:val="auto"/>
              </w:rPr>
            </w:pPr>
            <w:r>
              <w:rPr>
                <w:rFonts w:ascii="Arial" w:cs="Arial" w:eastAsia="Arial" w:hAnsi="Arial"/>
                <w:sz w:val="15"/>
                <w:szCs w:val="15"/>
                <w:color w:val="auto"/>
              </w:rPr>
              <w:t>100 %</w:t>
            </w:r>
          </w:p>
        </w:tc>
      </w:tr>
      <w:tr>
        <w:trPr>
          <w:trHeight w:val="20"/>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March 31, 2013,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7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plan assets) of credit risk as of March 31, 2013. Types of concentrations that were evaluated include, but are not limited to, investment concentrations in a single entity, type of industry, foreign country and individual fund. At March 31, 2013 and December 31, 2012, the pension plan held common stock in one investment that exceeded 10% of total plan assets. This investment was valued at $280.0 million and $223.1 million at March 31, 2013 and December 31, 2012, respectively, or approximately 12% and 11%, respectively, of total plan assets. Assets also included $209.7 million and $179.9 million of Berkshire Hathaway common stock at March 31, 2013 and December 31, 2012, respectively. At March 31, 2013 and December 31, 2012, the pension plan held investments in one foreign country that exceeded 10% of total plan assets. These investments were valued at $298.2 million and $240.4 million at March 31, 2013 and December 31, 2012, respectively, or approximately 13% and 12%, respectively, of total plan assets.</w:t>
      </w:r>
    </w:p>
    <w:p>
      <w:pPr>
        <w:spacing w:after="0" w:line="157"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b w:val="1"/>
          <w:bCs w:val="1"/>
          <w:color w:val="auto"/>
        </w:rPr>
        <w:t>Other Postretirement Plans</w:t>
      </w:r>
      <w:r>
        <w:rPr>
          <w:rFonts w:ascii="Arial" w:cs="Arial" w:eastAsia="Arial" w:hAnsi="Arial"/>
          <w:sz w:val="17"/>
          <w:szCs w:val="17"/>
          <w:color w:val="auto"/>
        </w:rPr>
        <w:t>. The total benefit arising from the Company’s postretirement plans, including a portion included in discontinued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the following components: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gridSpan w:val="3"/>
          </w:tcPr>
          <w:p>
            <w:pPr>
              <w:jc w:val="center"/>
              <w:ind w:right="227"/>
              <w:spacing w:after="0"/>
              <w:rPr>
                <w:sz w:val="20"/>
                <w:szCs w:val="20"/>
                <w:color w:val="auto"/>
              </w:rPr>
            </w:pPr>
            <w:r>
              <w:rPr>
                <w:rFonts w:ascii="Arial" w:cs="Arial" w:eastAsia="Arial" w:hAnsi="Arial"/>
                <w:sz w:val="12"/>
                <w:szCs w:val="12"/>
                <w:b w:val="1"/>
                <w:bCs w:val="1"/>
                <w:color w:val="auto"/>
              </w:rPr>
              <w:t>Three Months Ended</w:t>
            </w:r>
          </w:p>
        </w:tc>
      </w:tr>
      <w:tr>
        <w:trPr>
          <w:trHeight w:val="15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left="609"/>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r>
      <w:tr>
        <w:trPr>
          <w:trHeight w:val="129"/>
        </w:trPr>
        <w:tc>
          <w:tcPr>
            <w:tcW w:w="85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09"/>
              <w:spacing w:after="0" w:line="129" w:lineRule="exact"/>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7"/>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58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320" w:type="dxa"/>
            <w:vAlign w:val="bottom"/>
            <w:gridSpan w:val="2"/>
          </w:tcPr>
          <w:p>
            <w:pPr>
              <w:jc w:val="right"/>
              <w:ind w:right="192"/>
              <w:spacing w:after="0" w:line="150" w:lineRule="exact"/>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727</w:t>
            </w:r>
          </w:p>
        </w:tc>
        <w:tc>
          <w:tcPr>
            <w:tcW w:w="4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778</w:t>
            </w:r>
          </w:p>
        </w:tc>
      </w:tr>
      <w:tr>
        <w:trPr>
          <w:trHeight w:val="174"/>
        </w:trPr>
        <w:tc>
          <w:tcPr>
            <w:tcW w:w="8580" w:type="dxa"/>
            <w:vAlign w:val="bottom"/>
          </w:tcPr>
          <w:p>
            <w:pPr>
              <w:spacing w:after="0"/>
              <w:rPr>
                <w:sz w:val="20"/>
                <w:szCs w:val="20"/>
                <w:color w:val="auto"/>
              </w:rPr>
            </w:pPr>
            <w:r>
              <w:rPr>
                <w:rFonts w:ascii="Arial" w:cs="Arial" w:eastAsia="Arial" w:hAnsi="Arial"/>
                <w:sz w:val="15"/>
                <w:szCs w:val="15"/>
                <w:color w:val="auto"/>
              </w:rPr>
              <w:t>Interest cost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510</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684</w:t>
            </w:r>
          </w:p>
        </w:tc>
      </w:tr>
      <w:tr>
        <w:trPr>
          <w:trHeight w:val="174"/>
        </w:trPr>
        <w:tc>
          <w:tcPr>
            <w:tcW w:w="858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(1,360)</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(1,402)</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(541)</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w:t>
            </w:r>
          </w:p>
        </w:tc>
      </w:tr>
      <w:tr>
        <w:trPr>
          <w:trHeight w:val="150"/>
        </w:trPr>
        <w:tc>
          <w:tcPr>
            <w:tcW w:w="858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Benefit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(664)</w:t>
            </w:r>
          </w:p>
        </w:tc>
        <w:tc>
          <w:tcPr>
            <w:tcW w:w="46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(310)</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Settlement gain</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(3,471)</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8580" w:type="dxa"/>
            <w:vAlign w:val="bottom"/>
          </w:tcPr>
          <w:p>
            <w:pPr>
              <w:spacing w:after="0" w:line="167" w:lineRule="exact"/>
              <w:rPr>
                <w:sz w:val="20"/>
                <w:szCs w:val="20"/>
                <w:color w:val="auto"/>
              </w:rPr>
            </w:pPr>
            <w:r>
              <w:rPr>
                <w:rFonts w:ascii="Arial" w:cs="Arial" w:eastAsia="Arial" w:hAnsi="Arial"/>
                <w:sz w:val="15"/>
                <w:szCs w:val="15"/>
                <w:b w:val="1"/>
                <w:bCs w:val="1"/>
                <w:color w:val="auto"/>
              </w:rPr>
              <w:t>Total Periodic Benefit</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(4,135)</w:t>
            </w:r>
          </w:p>
        </w:tc>
        <w:tc>
          <w:tcPr>
            <w:tcW w:w="46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(310)</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80"/>
        <w:spacing w:after="0" w:line="235" w:lineRule="auto"/>
        <w:rPr>
          <w:sz w:val="20"/>
          <w:szCs w:val="20"/>
          <w:color w:val="auto"/>
        </w:rPr>
      </w:pPr>
      <w:r>
        <w:rPr>
          <w:rFonts w:ascii="Arial" w:cs="Arial" w:eastAsia="Arial" w:hAnsi="Arial"/>
          <w:sz w:val="17"/>
          <w:szCs w:val="17"/>
          <w:color w:val="auto"/>
        </w:rPr>
        <w:t>As part of the sale of The Herald, changes were made with respect to its postretirement medical plan, resulting in a $3.5 million settlement gain that is included in discontinued operations, net of tax, for the first quarter of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10. OTHER NON-OPERATING (EXPENSE)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gridSpan w:val="3"/>
          </w:tcPr>
          <w:p>
            <w:pPr>
              <w:jc w:val="center"/>
              <w:ind w:right="228"/>
              <w:spacing w:after="0"/>
              <w:rPr>
                <w:sz w:val="20"/>
                <w:szCs w:val="20"/>
                <w:color w:val="auto"/>
              </w:rPr>
            </w:pPr>
            <w:r>
              <w:rPr>
                <w:rFonts w:ascii="Arial" w:cs="Arial" w:eastAsia="Arial" w:hAnsi="Arial"/>
                <w:sz w:val="12"/>
                <w:szCs w:val="12"/>
                <w:b w:val="1"/>
                <w:bCs w:val="1"/>
                <w:color w:val="auto"/>
              </w:rPr>
              <w:t>Three Months Ended</w:t>
            </w:r>
          </w:p>
        </w:tc>
      </w:tr>
      <w:tr>
        <w:trPr>
          <w:trHeight w:val="151"/>
        </w:trPr>
        <w:tc>
          <w:tcPr>
            <w:tcW w:w="8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left="611"/>
              <w:spacing w:after="0"/>
              <w:rPr>
                <w:sz w:val="20"/>
                <w:szCs w:val="20"/>
                <w:color w:val="auto"/>
              </w:rPr>
            </w:pPr>
            <w:r>
              <w:rPr>
                <w:rFonts w:ascii="Arial" w:cs="Arial" w:eastAsia="Arial" w:hAnsi="Arial"/>
                <w:sz w:val="12"/>
                <w:szCs w:val="12"/>
                <w:b w:val="1"/>
                <w:bCs w:val="1"/>
                <w:color w:val="auto"/>
              </w:rPr>
              <w:t>March 31,</w:t>
            </w:r>
          </w:p>
        </w:tc>
        <w:tc>
          <w:tcPr>
            <w:tcW w:w="980" w:type="dxa"/>
            <w:vAlign w:val="bottom"/>
            <w:tcBorders>
              <w:bottom w:val="single" w:sz="8" w:color="auto"/>
            </w:tcBorders>
          </w:tcPr>
          <w:p>
            <w:pPr>
              <w:spacing w:after="0"/>
              <w:rPr>
                <w:sz w:val="13"/>
                <w:szCs w:val="13"/>
                <w:color w:val="auto"/>
              </w:rPr>
            </w:pPr>
          </w:p>
        </w:tc>
      </w:tr>
      <w:tr>
        <w:trPr>
          <w:trHeight w:val="129"/>
        </w:trPr>
        <w:tc>
          <w:tcPr>
            <w:tcW w:w="85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11"/>
              <w:spacing w:after="0" w:line="129" w:lineRule="exact"/>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8"/>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580" w:type="dxa"/>
            <w:vAlign w:val="bottom"/>
          </w:tcPr>
          <w:p>
            <w:pPr>
              <w:spacing w:after="0" w:line="150" w:lineRule="exact"/>
              <w:rPr>
                <w:sz w:val="20"/>
                <w:szCs w:val="20"/>
                <w:color w:val="auto"/>
              </w:rPr>
            </w:pPr>
            <w:r>
              <w:rPr>
                <w:rFonts w:ascii="Arial" w:cs="Arial" w:eastAsia="Arial" w:hAnsi="Arial"/>
                <w:sz w:val="15"/>
                <w:szCs w:val="15"/>
                <w:color w:val="auto"/>
              </w:rPr>
              <w:t>Foreign currency (losses) gains, net</w:t>
            </w:r>
          </w:p>
        </w:tc>
        <w:tc>
          <w:tcPr>
            <w:tcW w:w="320" w:type="dxa"/>
            <w:vAlign w:val="bottom"/>
            <w:gridSpan w:val="2"/>
          </w:tcPr>
          <w:p>
            <w:pPr>
              <w:jc w:val="right"/>
              <w:ind w:right="192"/>
              <w:spacing w:after="0" w:line="150" w:lineRule="exact"/>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(4,614)</w:t>
            </w:r>
          </w:p>
        </w:tc>
        <w:tc>
          <w:tcPr>
            <w:tcW w:w="46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2,660</w:t>
            </w:r>
          </w:p>
        </w:tc>
      </w:tr>
      <w:tr>
        <w:trPr>
          <w:trHeight w:val="174"/>
        </w:trPr>
        <w:tc>
          <w:tcPr>
            <w:tcW w:w="8580" w:type="dxa"/>
            <w:vAlign w:val="bottom"/>
          </w:tcPr>
          <w:p>
            <w:pPr>
              <w:spacing w:after="0"/>
              <w:rPr>
                <w:sz w:val="20"/>
                <w:szCs w:val="20"/>
                <w:color w:val="auto"/>
              </w:rPr>
            </w:pPr>
            <w:r>
              <w:rPr>
                <w:rFonts w:ascii="Arial" w:cs="Arial" w:eastAsia="Arial" w:hAnsi="Arial"/>
                <w:sz w:val="15"/>
                <w:szCs w:val="15"/>
                <w:color w:val="auto"/>
              </w:rPr>
              <w:t>(Losses) gains on sales or write-downs of cost method investments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(179)</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5,766</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Other, net</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710</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w:t>
            </w:r>
          </w:p>
        </w:tc>
      </w:tr>
      <w:tr>
        <w:trPr>
          <w:trHeight w:val="166"/>
        </w:trPr>
        <w:tc>
          <w:tcPr>
            <w:tcW w:w="8580" w:type="dxa"/>
            <w:vAlign w:val="bottom"/>
          </w:tcPr>
          <w:p>
            <w:pPr>
              <w:ind w:left="240"/>
              <w:spacing w:after="0" w:line="167" w:lineRule="exact"/>
              <w:rPr>
                <w:sz w:val="20"/>
                <w:szCs w:val="20"/>
                <w:color w:val="auto"/>
              </w:rPr>
            </w:pPr>
            <w:r>
              <w:rPr>
                <w:rFonts w:ascii="Arial" w:cs="Arial" w:eastAsia="Arial" w:hAnsi="Arial"/>
                <w:sz w:val="15"/>
                <w:szCs w:val="15"/>
                <w:b w:val="1"/>
                <w:bCs w:val="1"/>
                <w:color w:val="auto"/>
              </w:rPr>
              <w:t>Total Other Non-Operating (Expense) Income</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(4,083)</w:t>
            </w:r>
          </w:p>
        </w:tc>
        <w:tc>
          <w:tcPr>
            <w:tcW w:w="46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8,588</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other comprehensive income (loss) consists of the following components: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3"/>
          </w:tcPr>
          <w:p>
            <w:pPr>
              <w:jc w:val="center"/>
              <w:spacing w:after="0"/>
              <w:rPr>
                <w:sz w:val="20"/>
                <w:szCs w:val="20"/>
                <w:color w:val="auto"/>
              </w:rPr>
            </w:pPr>
            <w:r>
              <w:rPr>
                <w:rFonts w:ascii="Arial" w:cs="Arial" w:eastAsia="Arial" w:hAnsi="Arial"/>
                <w:sz w:val="12"/>
                <w:szCs w:val="12"/>
                <w:b w:val="1"/>
                <w:bCs w:val="1"/>
                <w:color w:val="auto"/>
              </w:rPr>
              <w:t>For the Three Months Ended</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51"/>
        </w:trPr>
        <w:tc>
          <w:tcPr>
            <w:tcW w:w="54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29"/>
        </w:trPr>
        <w:tc>
          <w:tcPr>
            <w:tcW w:w="54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78"/>
              <w:spacing w:after="0" w:line="129" w:lineRule="exact"/>
              <w:rPr>
                <w:sz w:val="20"/>
                <w:szCs w:val="20"/>
                <w:color w:val="auto"/>
              </w:rPr>
            </w:pPr>
            <w:r>
              <w:rPr>
                <w:rFonts w:ascii="Arial" w:cs="Arial" w:eastAsia="Arial" w:hAnsi="Arial"/>
                <w:sz w:val="12"/>
                <w:szCs w:val="12"/>
                <w:b w:val="1"/>
                <w:bCs w:val="1"/>
                <w:color w:val="auto"/>
              </w:rPr>
              <w:t>2013</w:t>
            </w: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360"/>
              <w:spacing w:after="0" w:line="129" w:lineRule="exact"/>
              <w:rPr>
                <w:sz w:val="20"/>
                <w:szCs w:val="20"/>
                <w:color w:val="auto"/>
              </w:rPr>
            </w:pPr>
            <w:r>
              <w:rPr>
                <w:rFonts w:ascii="Arial" w:cs="Arial" w:eastAsia="Arial" w:hAnsi="Arial"/>
                <w:sz w:val="12"/>
                <w:szCs w:val="12"/>
                <w:color w:val="auto"/>
              </w:rPr>
              <w:t>2012</w:t>
            </w:r>
          </w:p>
        </w:tc>
        <w:tc>
          <w:tcPr>
            <w:tcW w:w="980" w:type="dxa"/>
            <w:vAlign w:val="bottom"/>
            <w:tcBorders>
              <w:bottom w:val="single" w:sz="8" w:color="auto"/>
            </w:tcBorders>
          </w:tcPr>
          <w:p>
            <w:pPr>
              <w:spacing w:after="0"/>
              <w:rPr>
                <w:sz w:val="11"/>
                <w:szCs w:val="11"/>
                <w:color w:val="auto"/>
              </w:rPr>
            </w:pPr>
          </w:p>
        </w:tc>
      </w:tr>
      <w:tr>
        <w:trPr>
          <w:trHeight w:val="114"/>
        </w:trPr>
        <w:tc>
          <w:tcPr>
            <w:tcW w:w="5400" w:type="dxa"/>
            <w:vAlign w:val="bottom"/>
          </w:tcPr>
          <w:p>
            <w:pPr>
              <w:spacing w:after="0"/>
              <w:rPr>
                <w:sz w:val="9"/>
                <w:szCs w:val="9"/>
                <w:color w:val="auto"/>
              </w:rPr>
            </w:pPr>
          </w:p>
        </w:tc>
        <w:tc>
          <w:tcPr>
            <w:tcW w:w="1040" w:type="dxa"/>
            <w:vAlign w:val="bottom"/>
          </w:tcPr>
          <w:p>
            <w:pPr>
              <w:jc w:val="center"/>
              <w:ind w:right="58"/>
              <w:spacing w:after="0" w:line="114" w:lineRule="exact"/>
              <w:rPr>
                <w:sz w:val="20"/>
                <w:szCs w:val="20"/>
                <w:color w:val="auto"/>
              </w:rPr>
            </w:pPr>
            <w:r>
              <w:rPr>
                <w:rFonts w:ascii="Arial" w:cs="Arial" w:eastAsia="Arial" w:hAnsi="Arial"/>
                <w:sz w:val="12"/>
                <w:szCs w:val="12"/>
                <w:b w:val="1"/>
                <w:bCs w:val="1"/>
                <w:color w:val="auto"/>
              </w:rPr>
              <w:t>Before-Tax</w:t>
            </w:r>
          </w:p>
        </w:tc>
        <w:tc>
          <w:tcPr>
            <w:tcW w:w="900" w:type="dxa"/>
            <w:vAlign w:val="bottom"/>
          </w:tcPr>
          <w:p>
            <w:pPr>
              <w:jc w:val="right"/>
              <w:ind w:right="158"/>
              <w:spacing w:after="0" w:line="114" w:lineRule="exact"/>
              <w:rPr>
                <w:sz w:val="20"/>
                <w:szCs w:val="20"/>
                <w:color w:val="auto"/>
              </w:rPr>
            </w:pPr>
            <w:r>
              <w:rPr>
                <w:rFonts w:ascii="Arial" w:cs="Arial" w:eastAsia="Arial" w:hAnsi="Arial"/>
                <w:sz w:val="12"/>
                <w:szCs w:val="12"/>
                <w:b w:val="1"/>
                <w:bCs w:val="1"/>
                <w:color w:val="auto"/>
              </w:rPr>
              <w:t>Income</w:t>
            </w:r>
          </w:p>
        </w:tc>
        <w:tc>
          <w:tcPr>
            <w:tcW w:w="1040" w:type="dxa"/>
            <w:vAlign w:val="bottom"/>
          </w:tcPr>
          <w:p>
            <w:pPr>
              <w:jc w:val="center"/>
              <w:ind w:left="78"/>
              <w:spacing w:after="0" w:line="114" w:lineRule="exact"/>
              <w:rPr>
                <w:sz w:val="20"/>
                <w:szCs w:val="20"/>
                <w:color w:val="auto"/>
              </w:rPr>
            </w:pPr>
            <w:r>
              <w:rPr>
                <w:rFonts w:ascii="Arial" w:cs="Arial" w:eastAsia="Arial" w:hAnsi="Arial"/>
                <w:sz w:val="12"/>
                <w:szCs w:val="12"/>
                <w:b w:val="1"/>
                <w:bCs w:val="1"/>
                <w:color w:val="auto"/>
              </w:rPr>
              <w:t>After-Tax</w:t>
            </w:r>
          </w:p>
        </w:tc>
        <w:tc>
          <w:tcPr>
            <w:tcW w:w="100" w:type="dxa"/>
            <w:vAlign w:val="bottom"/>
          </w:tcPr>
          <w:p>
            <w:pPr>
              <w:spacing w:after="0"/>
              <w:rPr>
                <w:sz w:val="9"/>
                <w:szCs w:val="9"/>
                <w:color w:val="auto"/>
              </w:rPr>
            </w:pPr>
          </w:p>
        </w:tc>
        <w:tc>
          <w:tcPr>
            <w:tcW w:w="1020" w:type="dxa"/>
            <w:vAlign w:val="bottom"/>
          </w:tcPr>
          <w:p>
            <w:pPr>
              <w:jc w:val="center"/>
              <w:ind w:right="38"/>
              <w:spacing w:after="0" w:line="114" w:lineRule="exact"/>
              <w:rPr>
                <w:sz w:val="20"/>
                <w:szCs w:val="20"/>
                <w:color w:val="auto"/>
              </w:rPr>
            </w:pPr>
            <w:r>
              <w:rPr>
                <w:rFonts w:ascii="Arial" w:cs="Arial" w:eastAsia="Arial" w:hAnsi="Arial"/>
                <w:sz w:val="12"/>
                <w:szCs w:val="12"/>
                <w:color w:val="auto"/>
              </w:rPr>
              <w:t>Before-Tax</w:t>
            </w:r>
          </w:p>
        </w:tc>
        <w:tc>
          <w:tcPr>
            <w:tcW w:w="940" w:type="dxa"/>
            <w:vAlign w:val="bottom"/>
          </w:tcPr>
          <w:p>
            <w:pPr>
              <w:ind w:left="260"/>
              <w:spacing w:after="0" w:line="114" w:lineRule="exact"/>
              <w:rPr>
                <w:sz w:val="20"/>
                <w:szCs w:val="20"/>
                <w:color w:val="auto"/>
              </w:rPr>
            </w:pPr>
            <w:r>
              <w:rPr>
                <w:rFonts w:ascii="Arial" w:cs="Arial" w:eastAsia="Arial" w:hAnsi="Arial"/>
                <w:sz w:val="12"/>
                <w:szCs w:val="12"/>
                <w:color w:val="auto"/>
              </w:rPr>
              <w:t>Income</w:t>
            </w:r>
          </w:p>
        </w:tc>
        <w:tc>
          <w:tcPr>
            <w:tcW w:w="980" w:type="dxa"/>
            <w:vAlign w:val="bottom"/>
          </w:tcPr>
          <w:p>
            <w:pPr>
              <w:jc w:val="center"/>
              <w:ind w:left="18"/>
              <w:spacing w:after="0" w:line="114" w:lineRule="exact"/>
              <w:rPr>
                <w:sz w:val="20"/>
                <w:szCs w:val="20"/>
                <w:color w:val="auto"/>
              </w:rPr>
            </w:pPr>
            <w:r>
              <w:rPr>
                <w:rFonts w:ascii="Arial" w:cs="Arial" w:eastAsia="Arial" w:hAnsi="Arial"/>
                <w:sz w:val="12"/>
                <w:szCs w:val="12"/>
                <w:color w:val="auto"/>
              </w:rPr>
              <w:t>After-Tax</w:t>
            </w:r>
          </w:p>
        </w:tc>
      </w:tr>
      <w:tr>
        <w:trPr>
          <w:trHeight w:val="162"/>
        </w:trPr>
        <w:tc>
          <w:tcPr>
            <w:tcW w:w="5400" w:type="dxa"/>
            <w:vAlign w:val="bottom"/>
          </w:tcPr>
          <w:p>
            <w:pPr>
              <w:spacing w:after="0"/>
              <w:rPr>
                <w:sz w:val="20"/>
                <w:szCs w:val="20"/>
                <w:color w:val="auto"/>
              </w:rPr>
            </w:pPr>
            <w:r>
              <w:rPr>
                <w:rFonts w:ascii="Arial" w:cs="Arial" w:eastAsia="Arial" w:hAnsi="Arial"/>
                <w:sz w:val="12"/>
                <w:szCs w:val="12"/>
                <w:color w:val="auto"/>
              </w:rPr>
              <w:t>(in thousands)</w:t>
            </w:r>
          </w:p>
        </w:tc>
        <w:tc>
          <w:tcPr>
            <w:tcW w:w="1040" w:type="dxa"/>
            <w:vAlign w:val="bottom"/>
          </w:tcPr>
          <w:p>
            <w:pPr>
              <w:jc w:val="center"/>
              <w:ind w:right="58"/>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jc w:val="right"/>
              <w:ind w:right="278"/>
              <w:spacing w:after="0"/>
              <w:rPr>
                <w:sz w:val="20"/>
                <w:szCs w:val="20"/>
                <w:color w:val="auto"/>
              </w:rPr>
            </w:pPr>
            <w:r>
              <w:rPr>
                <w:rFonts w:ascii="Arial" w:cs="Arial" w:eastAsia="Arial" w:hAnsi="Arial"/>
                <w:sz w:val="12"/>
                <w:szCs w:val="12"/>
                <w:b w:val="1"/>
                <w:bCs w:val="1"/>
                <w:color w:val="auto"/>
              </w:rPr>
              <w:t>Tax</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rPr>
              <w:t>Amount</w:t>
            </w:r>
          </w:p>
        </w:tc>
        <w:tc>
          <w:tcPr>
            <w:tcW w:w="1020" w:type="dxa"/>
            <w:vAlign w:val="bottom"/>
          </w:tcPr>
          <w:p>
            <w:pPr>
              <w:jc w:val="center"/>
              <w:ind w:right="38"/>
              <w:spacing w:after="0"/>
              <w:rPr>
                <w:sz w:val="20"/>
                <w:szCs w:val="20"/>
                <w:color w:val="auto"/>
              </w:rPr>
            </w:pPr>
            <w:r>
              <w:rPr>
                <w:rFonts w:ascii="Arial" w:cs="Arial" w:eastAsia="Arial" w:hAnsi="Arial"/>
                <w:sz w:val="12"/>
                <w:szCs w:val="12"/>
                <w:color w:val="auto"/>
              </w:rPr>
              <w:t>Amount</w:t>
            </w:r>
          </w:p>
        </w:tc>
        <w:tc>
          <w:tcPr>
            <w:tcW w:w="940" w:type="dxa"/>
            <w:vAlign w:val="bottom"/>
          </w:tcPr>
          <w:p>
            <w:pPr>
              <w:ind w:left="360"/>
              <w:spacing w:after="0"/>
              <w:rPr>
                <w:sz w:val="20"/>
                <w:szCs w:val="20"/>
                <w:color w:val="auto"/>
              </w:rPr>
            </w:pPr>
            <w:r>
              <w:rPr>
                <w:rFonts w:ascii="Arial" w:cs="Arial" w:eastAsia="Arial" w:hAnsi="Arial"/>
                <w:sz w:val="12"/>
                <w:szCs w:val="12"/>
                <w:color w:val="auto"/>
              </w:rPr>
              <w:t>Tax</w:t>
            </w:r>
          </w:p>
        </w:tc>
        <w:tc>
          <w:tcPr>
            <w:tcW w:w="980" w:type="dxa"/>
            <w:vAlign w:val="bottom"/>
          </w:tcPr>
          <w:p>
            <w:pPr>
              <w:jc w:val="center"/>
              <w:ind w:left="18"/>
              <w:spacing w:after="0"/>
              <w:rPr>
                <w:sz w:val="20"/>
                <w:szCs w:val="20"/>
                <w:color w:val="auto"/>
              </w:rPr>
            </w:pPr>
            <w:r>
              <w:rPr>
                <w:rFonts w:ascii="Arial" w:cs="Arial" w:eastAsia="Arial" w:hAnsi="Arial"/>
                <w:sz w:val="12"/>
                <w:szCs w:val="12"/>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741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translation adjustments: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Translation adjustments arising during the period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Adjustment for sale of a business with foreign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Unrealized gains on available-for-sale securities: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Unrealized gains for the period</w:t>
      </w:r>
    </w:p>
    <w:p>
      <w:pPr>
        <w:spacing w:after="0" w:line="1" w:lineRule="exact"/>
        <w:rPr>
          <w:sz w:val="20"/>
          <w:szCs w:val="20"/>
          <w:color w:val="auto"/>
        </w:rPr>
      </w:pPr>
    </w:p>
    <w:p>
      <w:pPr>
        <w:ind w:left="480" w:right="720" w:hanging="235"/>
        <w:spacing w:after="0" w:line="250" w:lineRule="auto"/>
        <w:rPr>
          <w:sz w:val="20"/>
          <w:szCs w:val="20"/>
          <w:color w:val="auto"/>
        </w:rPr>
      </w:pPr>
      <w:r>
        <w:rPr>
          <w:rFonts w:ascii="Arial" w:cs="Arial" w:eastAsia="Arial" w:hAnsi="Arial"/>
          <w:sz w:val="15"/>
          <w:szCs w:val="15"/>
          <w:color w:val="auto"/>
        </w:rPr>
        <w:t>Reclassification adjustment for gain on available-for-sale security included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Pension and other postretirement plans: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net prior service credit included in net income</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of net actuarial loss included in net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Settlement gain included in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Cash flow hedge:</w:t>
      </w:r>
    </w:p>
    <w:p>
      <w:pPr>
        <w:spacing w:after="0" w:line="1" w:lineRule="exact"/>
        <w:rPr>
          <w:sz w:val="20"/>
          <w:szCs w:val="20"/>
          <w:color w:val="auto"/>
        </w:rPr>
      </w:pPr>
    </w:p>
    <w:p>
      <w:pPr>
        <w:jc w:val="center"/>
        <w:ind w:right="2580"/>
        <w:spacing w:after="0"/>
        <w:rPr>
          <w:sz w:val="20"/>
          <w:szCs w:val="20"/>
          <w:color w:val="auto"/>
        </w:rPr>
      </w:pPr>
      <w:r>
        <w:rPr>
          <w:rFonts w:ascii="Arial" w:cs="Arial" w:eastAsia="Arial" w:hAnsi="Arial"/>
          <w:sz w:val="15"/>
          <w:szCs w:val="15"/>
          <w:color w:val="auto"/>
        </w:rPr>
        <w:t>Gain (loss) for the period</w:t>
      </w:r>
    </w:p>
    <w:p>
      <w:pPr>
        <w:spacing w:after="0" w:line="8" w:lineRule="exact"/>
        <w:rPr>
          <w:sz w:val="20"/>
          <w:szCs w:val="20"/>
          <w:color w:val="auto"/>
        </w:rPr>
      </w:pPr>
    </w:p>
    <w:p>
      <w:pPr>
        <w:jc w:val="center"/>
        <w:ind w:right="2560"/>
        <w:spacing w:after="0"/>
        <w:rPr>
          <w:sz w:val="20"/>
          <w:szCs w:val="20"/>
          <w:color w:val="auto"/>
        </w:rPr>
      </w:pPr>
      <w:r>
        <w:rPr>
          <w:rFonts w:ascii="Arial" w:cs="Arial" w:eastAsia="Arial" w:hAnsi="Arial"/>
          <w:sz w:val="14"/>
          <w:szCs w:val="14"/>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(4,191)</w:t>
            </w:r>
          </w:p>
        </w:tc>
        <w:tc>
          <w:tcPr>
            <w:tcW w:w="2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b w:val="1"/>
                <w:bCs w:val="1"/>
                <w:color w:val="auto"/>
              </w:rPr>
              <w:t>(4,191)</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7,823</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7,823</w:t>
            </w:r>
          </w:p>
        </w:tc>
      </w:tr>
      <w:tr>
        <w:trPr>
          <w:trHeight w:val="190"/>
        </w:trPr>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513</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w:t>
            </w:r>
          </w:p>
        </w:tc>
      </w:tr>
      <w:tr>
        <w:trPr>
          <w:trHeight w:val="166"/>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(4,191)</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(4,191)</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8,336</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8,336</w:t>
            </w:r>
          </w:p>
        </w:tc>
      </w:tr>
      <w:tr>
        <w:trPr>
          <w:trHeight w:val="347"/>
        </w:trPr>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49,078</w:t>
            </w:r>
          </w:p>
        </w:tc>
        <w:tc>
          <w:tcPr>
            <w:tcW w:w="28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Arial" w:cs="Arial" w:eastAsia="Arial" w:hAnsi="Arial"/>
                <w:sz w:val="15"/>
                <w:szCs w:val="15"/>
                <w:b w:val="1"/>
                <w:bCs w:val="1"/>
                <w:color w:val="auto"/>
              </w:rPr>
              <w:t>(19,631)</w:t>
            </w:r>
          </w:p>
        </w:tc>
        <w:tc>
          <w:tcPr>
            <w:tcW w:w="3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b w:val="1"/>
                <w:bCs w:val="1"/>
                <w:color w:val="auto"/>
              </w:rPr>
              <w:t>29,447</w:t>
            </w:r>
          </w:p>
        </w:tc>
        <w:tc>
          <w:tcPr>
            <w:tcW w:w="3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32,315</w:t>
            </w:r>
          </w:p>
        </w:tc>
        <w:tc>
          <w:tcPr>
            <w:tcW w:w="280" w:type="dxa"/>
            <w:vAlign w:val="bottom"/>
          </w:tcPr>
          <w:p>
            <w:pPr>
              <w:spacing w:after="0"/>
              <w:rPr>
                <w:sz w:val="24"/>
                <w:szCs w:val="24"/>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rPr>
              <w:t>(12,925)</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19,390</w:t>
            </w:r>
          </w:p>
        </w:tc>
      </w:tr>
      <w:tr>
        <w:trPr>
          <w:trHeight w:val="341"/>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(551)</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220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(331)</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48,527</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(19,411)</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29,116</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32,315</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(12,925)</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19,390</w:t>
            </w:r>
          </w:p>
        </w:tc>
      </w:tr>
      <w:tr>
        <w:trPr>
          <w:trHeight w:val="324"/>
        </w:trPr>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(437)</w:t>
            </w:r>
          </w:p>
        </w:tc>
        <w:tc>
          <w:tcPr>
            <w:tcW w:w="28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Arial" w:cs="Arial" w:eastAsia="Arial" w:hAnsi="Arial"/>
                <w:sz w:val="15"/>
                <w:szCs w:val="15"/>
                <w:b w:val="1"/>
                <w:bCs w:val="1"/>
                <w:color w:val="auto"/>
              </w:rPr>
              <w:t>175</w:t>
            </w:r>
          </w:p>
        </w:tc>
        <w:tc>
          <w:tcPr>
            <w:tcW w:w="3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b w:val="1"/>
                <w:bCs w:val="1"/>
                <w:color w:val="auto"/>
              </w:rPr>
              <w:t>(262)</w:t>
            </w:r>
          </w:p>
        </w:tc>
        <w:tc>
          <w:tcPr>
            <w:tcW w:w="3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(451)</w:t>
            </w:r>
          </w:p>
        </w:tc>
        <w:tc>
          <w:tcPr>
            <w:tcW w:w="280" w:type="dxa"/>
            <w:vAlign w:val="bottom"/>
          </w:tcPr>
          <w:p>
            <w:pPr>
              <w:spacing w:after="0"/>
              <w:rPr>
                <w:sz w:val="24"/>
                <w:szCs w:val="24"/>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rPr>
              <w:t>180</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174"/>
        </w:trPr>
        <w:tc>
          <w:tcPr>
            <w:tcW w:w="26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2,317</w:t>
            </w:r>
          </w:p>
        </w:tc>
        <w:tc>
          <w:tcPr>
            <w:tcW w:w="28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Arial" w:cs="Arial" w:eastAsia="Arial" w:hAnsi="Arial"/>
                <w:sz w:val="15"/>
                <w:szCs w:val="15"/>
                <w:b w:val="1"/>
                <w:bCs w:val="1"/>
                <w:color w:val="auto"/>
              </w:rPr>
              <w:t>(927)</w:t>
            </w:r>
          </w:p>
        </w:tc>
        <w:tc>
          <w:tcPr>
            <w:tcW w:w="3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b w:val="1"/>
                <w:bCs w:val="1"/>
                <w:color w:val="auto"/>
              </w:rPr>
              <w:t>1,390</w:t>
            </w:r>
          </w:p>
        </w:tc>
        <w:tc>
          <w:tcPr>
            <w:tcW w:w="3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1,657</w:t>
            </w:r>
          </w:p>
        </w:tc>
        <w:tc>
          <w:tcPr>
            <w:tcW w:w="28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rPr>
              <w:t>(662)</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995</w:t>
            </w:r>
          </w:p>
        </w:tc>
      </w:tr>
      <w:tr>
        <w:trPr>
          <w:trHeight w:val="190"/>
        </w:trPr>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(3,471)</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1,388</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(2,083)</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(1,591)</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636</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(955)</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1,206</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(482)</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724</w:t>
            </w:r>
          </w:p>
        </w:tc>
      </w:tr>
      <w:tr>
        <w:trPr>
          <w:trHeight w:val="340"/>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(12)</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18</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(35)</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r>
      <w:tr>
        <w:trPr>
          <w:trHeight w:val="166"/>
        </w:trPr>
        <w:tc>
          <w:tcPr>
            <w:tcW w:w="2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42,775</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(18,787)</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23,988</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41,822</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(13,393)</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28,429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4680" w:space="720"/>
            <w:col w:w="6020"/>
          </w:cols>
          <w:pgMar w:left="240" w:top="78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The accumulated balances related to each component of other comprehensive income (loss)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92"/>
              <w:spacing w:after="0"/>
              <w:rPr>
                <w:sz w:val="20"/>
                <w:szCs w:val="20"/>
                <w:color w:val="auto"/>
              </w:rPr>
            </w:pPr>
            <w:r>
              <w:rPr>
                <w:rFonts w:ascii="Arial" w:cs="Arial" w:eastAsia="Arial" w:hAnsi="Arial"/>
                <w:sz w:val="12"/>
                <w:szCs w:val="12"/>
                <w:b w:val="1"/>
                <w:bCs w:val="1"/>
                <w:color w:val="auto"/>
              </w:rPr>
              <w:t>Cumulative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2"/>
              <w:spacing w:after="0"/>
              <w:rPr>
                <w:sz w:val="20"/>
                <w:szCs w:val="20"/>
                <w:color w:val="auto"/>
              </w:rPr>
            </w:pPr>
            <w:r>
              <w:rPr>
                <w:rFonts w:ascii="Arial" w:cs="Arial" w:eastAsia="Arial" w:hAnsi="Arial"/>
                <w:sz w:val="12"/>
                <w:szCs w:val="12"/>
                <w:b w:val="1"/>
                <w:bCs w:val="1"/>
                <w:color w:val="auto"/>
              </w:rPr>
              <w:t>Unrealized Gain</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92"/>
              <w:spacing w:after="0" w:line="137" w:lineRule="exact"/>
              <w:rPr>
                <w:sz w:val="20"/>
                <w:szCs w:val="20"/>
                <w:color w:val="auto"/>
              </w:rPr>
            </w:pPr>
            <w:r>
              <w:rPr>
                <w:rFonts w:ascii="Arial" w:cs="Arial" w:eastAsia="Arial" w:hAnsi="Arial"/>
                <w:sz w:val="12"/>
                <w:szCs w:val="12"/>
                <w:b w:val="1"/>
                <w:bCs w:val="1"/>
                <w:color w:val="auto"/>
              </w:rPr>
              <w:t>Foreign</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52"/>
              <w:spacing w:after="0" w:line="137" w:lineRule="exact"/>
              <w:rPr>
                <w:sz w:val="20"/>
                <w:szCs w:val="20"/>
                <w:color w:val="auto"/>
              </w:rPr>
            </w:pPr>
            <w:r>
              <w:rPr>
                <w:rFonts w:ascii="Arial" w:cs="Arial" w:eastAsia="Arial" w:hAnsi="Arial"/>
                <w:sz w:val="12"/>
                <w:szCs w:val="12"/>
                <w:b w:val="1"/>
                <w:bCs w:val="1"/>
                <w:color w:val="auto"/>
              </w:rPr>
              <w:t>on Pensions</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71"/>
              <w:spacing w:after="0" w:line="137" w:lineRule="exact"/>
              <w:rPr>
                <w:sz w:val="20"/>
                <w:szCs w:val="20"/>
                <w:color w:val="auto"/>
              </w:rPr>
            </w:pPr>
            <w:r>
              <w:rPr>
                <w:rFonts w:ascii="Arial" w:cs="Arial" w:eastAsia="Arial" w:hAnsi="Arial"/>
                <w:sz w:val="12"/>
                <w:szCs w:val="12"/>
                <w:b w:val="1"/>
                <w:bCs w:val="1"/>
                <w:color w:val="auto"/>
              </w:rPr>
              <w:t>Accumulated</w:t>
            </w: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92"/>
              <w:spacing w:after="0" w:line="137" w:lineRule="exact"/>
              <w:rPr>
                <w:sz w:val="20"/>
                <w:szCs w:val="20"/>
                <w:color w:val="auto"/>
              </w:rPr>
            </w:pPr>
            <w:r>
              <w:rPr>
                <w:rFonts w:ascii="Arial" w:cs="Arial" w:eastAsia="Arial" w:hAnsi="Arial"/>
                <w:sz w:val="12"/>
                <w:szCs w:val="12"/>
                <w:b w:val="1"/>
                <w:bCs w:val="1"/>
                <w:color w:val="auto"/>
              </w:rPr>
              <w:t>Currency</w:t>
            </w:r>
          </w:p>
        </w:tc>
        <w:tc>
          <w:tcPr>
            <w:tcW w:w="220" w:type="dxa"/>
            <w:vAlign w:val="bottom"/>
          </w:tcPr>
          <w:p>
            <w:pPr>
              <w:spacing w:after="0"/>
              <w:rPr>
                <w:sz w:val="11"/>
                <w:szCs w:val="11"/>
                <w:color w:val="auto"/>
              </w:rPr>
            </w:pPr>
          </w:p>
        </w:tc>
        <w:tc>
          <w:tcPr>
            <w:tcW w:w="1260" w:type="dxa"/>
            <w:vAlign w:val="bottom"/>
          </w:tcPr>
          <w:p>
            <w:pPr>
              <w:jc w:val="center"/>
              <w:ind w:right="130"/>
              <w:spacing w:after="0" w:line="137" w:lineRule="exact"/>
              <w:rPr>
                <w:sz w:val="20"/>
                <w:szCs w:val="20"/>
                <w:color w:val="auto"/>
              </w:rPr>
            </w:pPr>
            <w:r>
              <w:rPr>
                <w:rFonts w:ascii="Arial" w:cs="Arial" w:eastAsia="Arial" w:hAnsi="Arial"/>
                <w:sz w:val="12"/>
                <w:szCs w:val="12"/>
                <w:b w:val="1"/>
                <w:bCs w:val="1"/>
                <w:color w:val="auto"/>
              </w:rPr>
              <w:t>Unrealized Gain</w:t>
            </w:r>
          </w:p>
        </w:tc>
        <w:tc>
          <w:tcPr>
            <w:tcW w:w="240" w:type="dxa"/>
            <w:vAlign w:val="bottom"/>
          </w:tcPr>
          <w:p>
            <w:pPr>
              <w:spacing w:after="0"/>
              <w:rPr>
                <w:sz w:val="11"/>
                <w:szCs w:val="11"/>
                <w:color w:val="auto"/>
              </w:rPr>
            </w:pPr>
          </w:p>
        </w:tc>
        <w:tc>
          <w:tcPr>
            <w:tcW w:w="1240" w:type="dxa"/>
            <w:vAlign w:val="bottom"/>
          </w:tcPr>
          <w:p>
            <w:pPr>
              <w:jc w:val="center"/>
              <w:ind w:right="152"/>
              <w:spacing w:after="0" w:line="137" w:lineRule="exact"/>
              <w:rPr>
                <w:sz w:val="20"/>
                <w:szCs w:val="20"/>
                <w:color w:val="auto"/>
              </w:rPr>
            </w:pPr>
            <w:r>
              <w:rPr>
                <w:rFonts w:ascii="Arial" w:cs="Arial" w:eastAsia="Arial" w:hAnsi="Arial"/>
                <w:sz w:val="12"/>
                <w:szCs w:val="12"/>
                <w:b w:val="1"/>
                <w:bCs w:val="1"/>
                <w:color w:val="auto"/>
              </w:rPr>
              <w:t>and Other</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71"/>
              <w:spacing w:after="0" w:line="137" w:lineRule="exact"/>
              <w:rPr>
                <w:sz w:val="20"/>
                <w:szCs w:val="20"/>
                <w:color w:val="auto"/>
              </w:rPr>
            </w:pPr>
            <w:r>
              <w:rPr>
                <w:rFonts w:ascii="Arial" w:cs="Arial" w:eastAsia="Arial" w:hAnsi="Arial"/>
                <w:sz w:val="12"/>
                <w:szCs w:val="12"/>
                <w:b w:val="1"/>
                <w:bCs w:val="1"/>
                <w:color w:val="auto"/>
              </w:rPr>
              <w:t>Other</w:t>
            </w: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192"/>
              <w:spacing w:after="0" w:line="137" w:lineRule="exact"/>
              <w:rPr>
                <w:sz w:val="20"/>
                <w:szCs w:val="20"/>
                <w:color w:val="auto"/>
              </w:rPr>
            </w:pPr>
            <w:r>
              <w:rPr>
                <w:rFonts w:ascii="Arial" w:cs="Arial" w:eastAsia="Arial" w:hAnsi="Arial"/>
                <w:sz w:val="12"/>
                <w:szCs w:val="12"/>
                <w:b w:val="1"/>
                <w:bCs w:val="1"/>
                <w:color w:val="auto"/>
              </w:rPr>
              <w:t>Translation</w:t>
            </w:r>
          </w:p>
        </w:tc>
        <w:tc>
          <w:tcPr>
            <w:tcW w:w="220" w:type="dxa"/>
            <w:vAlign w:val="bottom"/>
          </w:tcPr>
          <w:p>
            <w:pPr>
              <w:spacing w:after="0"/>
              <w:rPr>
                <w:sz w:val="11"/>
                <w:szCs w:val="11"/>
                <w:color w:val="auto"/>
              </w:rPr>
            </w:pPr>
          </w:p>
        </w:tc>
        <w:tc>
          <w:tcPr>
            <w:tcW w:w="1260" w:type="dxa"/>
            <w:vAlign w:val="bottom"/>
          </w:tcPr>
          <w:p>
            <w:pPr>
              <w:jc w:val="center"/>
              <w:ind w:right="130"/>
              <w:spacing w:after="0" w:line="137" w:lineRule="exact"/>
              <w:rPr>
                <w:sz w:val="20"/>
                <w:szCs w:val="20"/>
                <w:color w:val="auto"/>
              </w:rPr>
            </w:pPr>
            <w:r>
              <w:rPr>
                <w:rFonts w:ascii="Arial" w:cs="Arial" w:eastAsia="Arial" w:hAnsi="Arial"/>
                <w:sz w:val="12"/>
                <w:szCs w:val="12"/>
                <w:b w:val="1"/>
                <w:bCs w:val="1"/>
                <w:color w:val="auto"/>
              </w:rPr>
              <w:t>on Available-for-</w:t>
            </w:r>
          </w:p>
        </w:tc>
        <w:tc>
          <w:tcPr>
            <w:tcW w:w="240" w:type="dxa"/>
            <w:vAlign w:val="bottom"/>
          </w:tcPr>
          <w:p>
            <w:pPr>
              <w:spacing w:after="0"/>
              <w:rPr>
                <w:sz w:val="11"/>
                <w:szCs w:val="11"/>
                <w:color w:val="auto"/>
              </w:rPr>
            </w:pPr>
          </w:p>
        </w:tc>
        <w:tc>
          <w:tcPr>
            <w:tcW w:w="1240" w:type="dxa"/>
            <w:vAlign w:val="bottom"/>
          </w:tcPr>
          <w:p>
            <w:pPr>
              <w:jc w:val="center"/>
              <w:ind w:right="132"/>
              <w:spacing w:after="0" w:line="137" w:lineRule="exact"/>
              <w:rPr>
                <w:sz w:val="20"/>
                <w:szCs w:val="20"/>
                <w:color w:val="auto"/>
              </w:rPr>
            </w:pPr>
            <w:r>
              <w:rPr>
                <w:rFonts w:ascii="Arial" w:cs="Arial" w:eastAsia="Arial" w:hAnsi="Arial"/>
                <w:sz w:val="12"/>
                <w:szCs w:val="12"/>
                <w:b w:val="1"/>
                <w:bCs w:val="1"/>
                <w:color w:val="auto"/>
              </w:rPr>
              <w:t>Postretirement</w:t>
            </w:r>
          </w:p>
        </w:tc>
        <w:tc>
          <w:tcPr>
            <w:tcW w:w="300" w:type="dxa"/>
            <w:vAlign w:val="bottom"/>
          </w:tcPr>
          <w:p>
            <w:pPr>
              <w:spacing w:after="0"/>
              <w:rPr>
                <w:sz w:val="11"/>
                <w:szCs w:val="11"/>
                <w:color w:val="auto"/>
              </w:rPr>
            </w:pPr>
          </w:p>
        </w:tc>
        <w:tc>
          <w:tcPr>
            <w:tcW w:w="1160" w:type="dxa"/>
            <w:vAlign w:val="bottom"/>
          </w:tcPr>
          <w:p>
            <w:pPr>
              <w:jc w:val="right"/>
              <w:ind w:right="329"/>
              <w:spacing w:after="0" w:line="137" w:lineRule="exact"/>
              <w:rPr>
                <w:sz w:val="20"/>
                <w:szCs w:val="20"/>
                <w:color w:val="auto"/>
              </w:rPr>
            </w:pPr>
            <w:r>
              <w:rPr>
                <w:rFonts w:ascii="Arial" w:cs="Arial" w:eastAsia="Arial" w:hAnsi="Arial"/>
                <w:sz w:val="12"/>
                <w:szCs w:val="12"/>
                <w:b w:val="1"/>
                <w:bCs w:val="1"/>
                <w:color w:val="auto"/>
              </w:rPr>
              <w:t>Cash Flow</w:t>
            </w:r>
          </w:p>
        </w:tc>
        <w:tc>
          <w:tcPr>
            <w:tcW w:w="240" w:type="dxa"/>
            <w:vAlign w:val="bottom"/>
          </w:tcPr>
          <w:p>
            <w:pPr>
              <w:spacing w:after="0"/>
              <w:rPr>
                <w:sz w:val="11"/>
                <w:szCs w:val="11"/>
                <w:color w:val="auto"/>
              </w:rPr>
            </w:pPr>
          </w:p>
        </w:tc>
        <w:tc>
          <w:tcPr>
            <w:tcW w:w="1200" w:type="dxa"/>
            <w:vAlign w:val="bottom"/>
          </w:tcPr>
          <w:p>
            <w:pPr>
              <w:jc w:val="center"/>
              <w:ind w:right="71"/>
              <w:spacing w:after="0" w:line="137" w:lineRule="exact"/>
              <w:rPr>
                <w:sz w:val="20"/>
                <w:szCs w:val="20"/>
                <w:color w:val="auto"/>
              </w:rPr>
            </w:pPr>
            <w:r>
              <w:rPr>
                <w:rFonts w:ascii="Arial" w:cs="Arial" w:eastAsia="Arial" w:hAnsi="Arial"/>
                <w:sz w:val="12"/>
                <w:szCs w:val="12"/>
                <w:b w:val="1"/>
                <w:bCs w:val="1"/>
                <w:color w:val="auto"/>
              </w:rPr>
              <w:t>Comprehensive</w:t>
            </w:r>
          </w:p>
        </w:tc>
      </w:tr>
      <w:tr>
        <w:trPr>
          <w:trHeight w:val="151"/>
        </w:trPr>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net of taxes)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Adjustment</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rPr>
              <w:t>Sale Securities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2"/>
                <w:szCs w:val="12"/>
                <w:b w:val="1"/>
                <w:bCs w:val="1"/>
                <w:color w:val="auto"/>
              </w:rPr>
              <w:t>Plans</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Hedge</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rPr>
              <w:t>Income</w:t>
            </w:r>
          </w:p>
        </w:tc>
      </w:tr>
      <w:tr>
        <w:trPr>
          <w:trHeight w:val="150"/>
        </w:trPr>
        <w:tc>
          <w:tcPr>
            <w:tcW w:w="4140" w:type="dxa"/>
            <w:vAlign w:val="bottom"/>
          </w:tcPr>
          <w:p>
            <w:pPr>
              <w:spacing w:after="0" w:line="150" w:lineRule="exact"/>
              <w:rPr>
                <w:sz w:val="20"/>
                <w:szCs w:val="20"/>
                <w:color w:val="auto"/>
              </w:rPr>
            </w:pPr>
            <w:r>
              <w:rPr>
                <w:rFonts w:ascii="Arial" w:cs="Arial" w:eastAsia="Arial" w:hAnsi="Arial"/>
                <w:sz w:val="15"/>
                <w:szCs w:val="15"/>
                <w:color w:val="auto"/>
              </w:rPr>
              <w:t>Balance as of December 31, 2012</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
              <w:spacing w:after="0" w:line="150" w:lineRule="exact"/>
              <w:rPr>
                <w:sz w:val="20"/>
                <w:szCs w:val="20"/>
                <w:color w:val="auto"/>
              </w:rPr>
            </w:pPr>
            <w:r>
              <w:rPr>
                <w:rFonts w:ascii="Arial" w:cs="Arial" w:eastAsia="Arial" w:hAnsi="Arial"/>
                <w:sz w:val="15"/>
                <w:szCs w:val="15"/>
                <w:color w:val="auto"/>
              </w:rPr>
              <w:t>26,072</w:t>
            </w:r>
          </w:p>
        </w:tc>
        <w:tc>
          <w:tcPr>
            <w:tcW w:w="2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10"/>
              <w:spacing w:after="0" w:line="150" w:lineRule="exact"/>
              <w:rPr>
                <w:sz w:val="20"/>
                <w:szCs w:val="20"/>
                <w:color w:val="auto"/>
              </w:rPr>
            </w:pPr>
            <w:r>
              <w:rPr>
                <w:rFonts w:ascii="Arial" w:cs="Arial" w:eastAsia="Arial" w:hAnsi="Arial"/>
                <w:sz w:val="15"/>
                <w:szCs w:val="15"/>
                <w:color w:val="auto"/>
              </w:rPr>
              <w:t>110,553</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12"/>
              <w:spacing w:after="0" w:line="150" w:lineRule="exact"/>
              <w:rPr>
                <w:sz w:val="20"/>
                <w:szCs w:val="20"/>
                <w:color w:val="auto"/>
              </w:rPr>
            </w:pPr>
            <w:r>
              <w:rPr>
                <w:rFonts w:ascii="Arial" w:cs="Arial" w:eastAsia="Arial" w:hAnsi="Arial"/>
                <w:sz w:val="15"/>
                <w:szCs w:val="15"/>
                <w:color w:val="auto"/>
              </w:rPr>
              <w:t>117,169</w:t>
            </w:r>
          </w:p>
        </w:tc>
        <w:tc>
          <w:tcPr>
            <w:tcW w:w="300" w:type="dxa"/>
            <w:vAlign w:val="bottom"/>
          </w:tcPr>
          <w:p>
            <w:pPr>
              <w:jc w:val="right"/>
              <w:ind w:right="46"/>
              <w:spacing w:after="0" w:line="150"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50" w:lineRule="exact"/>
              <w:rPr>
                <w:sz w:val="20"/>
                <w:szCs w:val="20"/>
                <w:color w:val="auto"/>
              </w:rPr>
            </w:pPr>
            <w:r>
              <w:rPr>
                <w:rFonts w:ascii="Arial" w:cs="Arial" w:eastAsia="Arial" w:hAnsi="Arial"/>
                <w:sz w:val="15"/>
                <w:szCs w:val="15"/>
                <w:color w:val="auto"/>
              </w:rPr>
              <w:t>(940)</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50" w:lineRule="exact"/>
              <w:rPr>
                <w:sz w:val="20"/>
                <w:szCs w:val="20"/>
                <w:color w:val="auto"/>
              </w:rPr>
            </w:pPr>
            <w:r>
              <w:rPr>
                <w:rFonts w:ascii="Arial" w:cs="Arial" w:eastAsia="Arial" w:hAnsi="Arial"/>
                <w:sz w:val="15"/>
                <w:szCs w:val="15"/>
                <w:color w:val="auto"/>
              </w:rPr>
              <w:t>252,854</w:t>
            </w:r>
          </w:p>
        </w:tc>
      </w:tr>
      <w:tr>
        <w:trPr>
          <w:trHeight w:val="174"/>
        </w:trPr>
        <w:tc>
          <w:tcPr>
            <w:tcW w:w="4140" w:type="dxa"/>
            <w:vAlign w:val="bottom"/>
          </w:tcPr>
          <w:p>
            <w:pPr>
              <w:ind w:left="120"/>
              <w:spacing w:after="0"/>
              <w:rPr>
                <w:sz w:val="20"/>
                <w:szCs w:val="20"/>
                <w:color w:val="auto"/>
              </w:rPr>
            </w:pPr>
            <w:r>
              <w:rPr>
                <w:rFonts w:ascii="Arial" w:cs="Arial" w:eastAsia="Arial" w:hAnsi="Arial"/>
                <w:sz w:val="15"/>
                <w:szCs w:val="15"/>
                <w:b w:val="1"/>
                <w:bCs w:val="1"/>
                <w:color w:val="auto"/>
              </w:rPr>
              <w:t>Other comprehensive income (loss) before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4"/>
        </w:trPr>
        <w:tc>
          <w:tcPr>
            <w:tcW w:w="4140" w:type="dxa"/>
            <w:vAlign w:val="bottom"/>
          </w:tcPr>
          <w:p>
            <w:pPr>
              <w:ind w:left="240"/>
              <w:spacing w:after="0"/>
              <w:rPr>
                <w:sz w:val="20"/>
                <w:szCs w:val="20"/>
                <w:color w:val="auto"/>
              </w:rPr>
            </w:pPr>
            <w:r>
              <w:rPr>
                <w:rFonts w:ascii="Arial" w:cs="Arial" w:eastAsia="Arial" w:hAnsi="Arial"/>
                <w:sz w:val="15"/>
                <w:szCs w:val="15"/>
                <w:b w:val="1"/>
                <w:bCs w:val="1"/>
                <w:color w:val="auto"/>
              </w:rPr>
              <w:t>reclassifications</w:t>
            </w:r>
          </w:p>
        </w:tc>
        <w:tc>
          <w:tcPr>
            <w:tcW w:w="220" w:type="dxa"/>
            <w:vAlign w:val="bottom"/>
          </w:tcPr>
          <w:p>
            <w:pPr>
              <w:spacing w:after="0"/>
              <w:rPr>
                <w:sz w:val="15"/>
                <w:szCs w:val="15"/>
                <w:color w:val="auto"/>
              </w:rPr>
            </w:pPr>
          </w:p>
        </w:tc>
        <w:tc>
          <w:tcPr>
            <w:tcW w:w="1200" w:type="dxa"/>
            <w:vAlign w:val="bottom"/>
          </w:tcPr>
          <w:p>
            <w:pPr>
              <w:jc w:val="right"/>
              <w:ind w:right="12"/>
              <w:spacing w:after="0"/>
              <w:rPr>
                <w:sz w:val="20"/>
                <w:szCs w:val="20"/>
                <w:color w:val="auto"/>
              </w:rPr>
            </w:pPr>
            <w:r>
              <w:rPr>
                <w:rFonts w:ascii="Arial" w:cs="Arial" w:eastAsia="Arial" w:hAnsi="Arial"/>
                <w:sz w:val="15"/>
                <w:szCs w:val="15"/>
                <w:b w:val="1"/>
                <w:bCs w:val="1"/>
                <w:color w:val="auto"/>
              </w:rPr>
              <w:t>(4,191)</w:t>
            </w:r>
          </w:p>
        </w:tc>
        <w:tc>
          <w:tcPr>
            <w:tcW w:w="22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29,447</w:t>
            </w:r>
          </w:p>
        </w:tc>
        <w:tc>
          <w:tcPr>
            <w:tcW w:w="2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(94)</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25,162</w:t>
            </w:r>
          </w:p>
        </w:tc>
      </w:tr>
      <w:tr>
        <w:trPr>
          <w:trHeight w:val="174"/>
        </w:trPr>
        <w:tc>
          <w:tcPr>
            <w:tcW w:w="4140" w:type="dxa"/>
            <w:vAlign w:val="bottom"/>
          </w:tcPr>
          <w:p>
            <w:pPr>
              <w:ind w:left="120"/>
              <w:spacing w:after="0"/>
              <w:rPr>
                <w:sz w:val="20"/>
                <w:szCs w:val="20"/>
                <w:color w:val="auto"/>
              </w:rPr>
            </w:pPr>
            <w:r>
              <w:rPr>
                <w:rFonts w:ascii="Arial" w:cs="Arial" w:eastAsia="Arial" w:hAnsi="Arial"/>
                <w:sz w:val="15"/>
                <w:szCs w:val="15"/>
                <w:b w:val="1"/>
                <w:bCs w:val="1"/>
                <w:color w:val="auto"/>
              </w:rPr>
              <w:t>Net amount reclassified from accumulated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4140" w:type="dxa"/>
            <w:vAlign w:val="bottom"/>
          </w:tcPr>
          <w:p>
            <w:pPr>
              <w:ind w:left="240"/>
              <w:spacing w:after="0"/>
              <w:rPr>
                <w:sz w:val="20"/>
                <w:szCs w:val="20"/>
                <w:color w:val="auto"/>
              </w:rPr>
            </w:pPr>
            <w:r>
              <w:rPr>
                <w:rFonts w:ascii="Arial" w:cs="Arial" w:eastAsia="Arial" w:hAnsi="Arial"/>
                <w:sz w:val="15"/>
                <w:szCs w:val="15"/>
                <w:b w:val="1"/>
                <w:bCs w:val="1"/>
                <w:color w:val="auto"/>
              </w:rPr>
              <w:t>other comprehensive income</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(331)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b w:val="1"/>
                <w:bCs w:val="1"/>
                <w:color w:val="auto"/>
              </w:rPr>
              <w:t>(955)</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(1,174)</w:t>
            </w:r>
          </w:p>
        </w:tc>
      </w:tr>
      <w:tr>
        <w:trPr>
          <w:trHeight w:val="166"/>
        </w:trPr>
        <w:tc>
          <w:tcPr>
            <w:tcW w:w="414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Net other comprehensive income (loss)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(4,191)</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29,116</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(955)</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18</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23,988</w:t>
            </w:r>
          </w:p>
        </w:tc>
      </w:tr>
      <w:tr>
        <w:trPr>
          <w:trHeight w:val="166"/>
        </w:trPr>
        <w:tc>
          <w:tcPr>
            <w:tcW w:w="414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as of March 31, 2013</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21,881</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139,669</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116,214</w:t>
            </w:r>
          </w:p>
        </w:tc>
        <w:tc>
          <w:tcPr>
            <w:tcW w:w="3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(922)</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276,842</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type w:val="continuous"/>
        </w:sectPr>
      </w:pPr>
    </w:p>
    <w:bookmarkStart w:id="17" w:name="page18"/>
    <w:bookmarkEnd w:id="17"/>
    <w:p>
      <w:pPr>
        <w:ind w:left="1"/>
        <w:spacing w:after="0"/>
        <w:rPr>
          <w:sz w:val="20"/>
          <w:szCs w:val="20"/>
          <w:color w:val="auto"/>
        </w:rPr>
      </w:pPr>
      <w:r>
        <w:rPr>
          <w:rFonts w:ascii="Arial" w:cs="Arial" w:eastAsia="Arial" w:hAnsi="Arial"/>
          <w:sz w:val="17"/>
          <w:szCs w:val="17"/>
          <w:color w:val="auto"/>
        </w:rPr>
        <w:t>The amounts and line items of reclassifications out of Accumulated Other Comprehensive Income are as follows:</w:t>
      </w:r>
    </w:p>
    <w:p>
      <w:pPr>
        <w:spacing w:after="0" w:line="287" w:lineRule="exact"/>
        <w:rPr>
          <w:sz w:val="20"/>
          <w:szCs w:val="20"/>
          <w:color w:val="auto"/>
        </w:rPr>
      </w:pPr>
    </w:p>
    <w:p>
      <w:pPr>
        <w:jc w:val="center"/>
        <w:ind w:left="1860"/>
        <w:spacing w:after="0"/>
        <w:rPr>
          <w:sz w:val="20"/>
          <w:szCs w:val="20"/>
          <w:color w:val="auto"/>
        </w:rPr>
      </w:pPr>
      <w:r>
        <w:rPr>
          <w:rFonts w:ascii="Arial" w:cs="Arial" w:eastAsia="Arial" w:hAnsi="Arial"/>
          <w:sz w:val="12"/>
          <w:szCs w:val="12"/>
          <w:b w:val="1"/>
          <w:bCs w:val="1"/>
          <w:color w:val="auto"/>
        </w:rPr>
        <w:t>For the Three Months Ended</w:t>
      </w:r>
    </w:p>
    <w:p>
      <w:pPr>
        <w:spacing w:after="0" w:line="11" w:lineRule="exact"/>
        <w:rPr>
          <w:sz w:val="20"/>
          <w:szCs w:val="20"/>
          <w:color w:val="auto"/>
        </w:rPr>
      </w:pPr>
    </w:p>
    <w:p>
      <w:pPr>
        <w:jc w:val="center"/>
        <w:ind w:left="1900"/>
        <w:spacing w:after="0"/>
        <w:rPr>
          <w:sz w:val="20"/>
          <w:szCs w:val="20"/>
          <w:color w:val="auto"/>
        </w:rPr>
      </w:pPr>
      <w:r>
        <w:rPr>
          <w:rFonts w:ascii="Arial" w:cs="Arial" w:eastAsia="Arial" w:hAnsi="Arial"/>
          <w:sz w:val="12"/>
          <w:szCs w:val="12"/>
          <w:b w:val="1"/>
          <w:bCs w:val="1"/>
          <w:color w:val="auto"/>
        </w:rPr>
        <w:t>March 31, 2013</w:t>
      </w:r>
    </w:p>
    <w:p>
      <w:pPr>
        <w:jc w:val="center"/>
        <w:ind w:left="1860"/>
        <w:spacing w:after="0" w:line="237" w:lineRule="auto"/>
        <w:rPr>
          <w:sz w:val="20"/>
          <w:szCs w:val="20"/>
          <w:color w:val="auto"/>
        </w:rPr>
      </w:pPr>
      <w:r>
        <w:rPr>
          <w:rFonts w:ascii="Arial" w:cs="Arial" w:eastAsia="Arial" w:hAnsi="Arial"/>
          <w:sz w:val="12"/>
          <w:szCs w:val="12"/>
          <w:b w:val="1"/>
          <w:bCs w:val="1"/>
          <w:color w:val="auto"/>
        </w:rPr>
        <w:t>Amount Reclassified from</w:t>
      </w:r>
    </w:p>
    <w:p>
      <w:pPr>
        <w:ind w:left="6081"/>
        <w:spacing w:after="0" w:line="237" w:lineRule="auto"/>
        <w:tabs>
          <w:tab w:leader="none" w:pos="8801" w:val="left"/>
        </w:tabs>
        <w:rPr>
          <w:sz w:val="20"/>
          <w:szCs w:val="20"/>
          <w:color w:val="auto"/>
        </w:rPr>
      </w:pPr>
      <w:r>
        <w:rPr>
          <w:rFonts w:ascii="Arial" w:cs="Arial" w:eastAsia="Arial" w:hAnsi="Arial"/>
          <w:sz w:val="12"/>
          <w:szCs w:val="12"/>
          <w:b w:val="1"/>
          <w:bCs w:val="1"/>
          <w:color w:val="auto"/>
        </w:rPr>
        <w:t>Accumulated Other</w:t>
      </w:r>
      <w:r>
        <w:rPr>
          <w:sz w:val="20"/>
          <w:szCs w:val="20"/>
          <w:color w:val="auto"/>
        </w:rPr>
        <w:tab/>
      </w:r>
      <w:r>
        <w:rPr>
          <w:rFonts w:ascii="Arial" w:cs="Arial" w:eastAsia="Arial" w:hAnsi="Arial"/>
          <w:sz w:val="12"/>
          <w:szCs w:val="12"/>
          <w:b w:val="1"/>
          <w:bCs w:val="1"/>
          <w:color w:val="auto"/>
        </w:rPr>
        <w:t>Affected Line Item in the Condensed</w:t>
      </w:r>
    </w:p>
    <w:p>
      <w:pPr>
        <w:ind w:left="1"/>
        <w:spacing w:after="0"/>
        <w:tabs>
          <w:tab w:leader="none" w:pos="5921" w:val="left"/>
          <w:tab w:leader="none" w:pos="8741" w:val="left"/>
        </w:tabs>
        <w:rPr>
          <w:sz w:val="20"/>
          <w:szCs w:val="20"/>
          <w:color w:val="auto"/>
        </w:rPr>
      </w:pPr>
      <w:r>
        <w:rPr>
          <w:rFonts w:ascii="Arial" w:cs="Arial" w:eastAsia="Arial" w:hAnsi="Arial"/>
          <w:sz w:val="12"/>
          <w:szCs w:val="12"/>
          <w:color w:val="auto"/>
        </w:rPr>
        <w:t>(in thousands)</w:t>
      </w:r>
      <w:r>
        <w:rPr>
          <w:sz w:val="20"/>
          <w:szCs w:val="20"/>
          <w:color w:val="auto"/>
        </w:rPr>
        <w:tab/>
      </w:r>
      <w:r>
        <w:rPr>
          <w:rFonts w:ascii="Arial" w:cs="Arial" w:eastAsia="Arial" w:hAnsi="Arial"/>
          <w:sz w:val="12"/>
          <w:szCs w:val="12"/>
          <w:b w:val="1"/>
          <w:bCs w:val="1"/>
          <w:color w:val="auto"/>
        </w:rPr>
        <w:t>Comprehensive Income</w:t>
      </w:r>
      <w:r>
        <w:rPr>
          <w:sz w:val="20"/>
          <w:szCs w:val="20"/>
          <w:color w:val="auto"/>
        </w:rPr>
        <w:tab/>
      </w: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74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1"/>
          </w:cols>
          <w:pgMar w:left="239" w:top="871" w:right="239" w:bottom="1440" w:gutter="0" w:footer="0" w:header="0"/>
        </w:sectPr>
      </w:pPr>
    </w:p>
    <w:p>
      <w:pPr>
        <w:spacing w:after="0" w:line="13" w:lineRule="exact"/>
        <w:rPr>
          <w:sz w:val="20"/>
          <w:szCs w:val="20"/>
          <w:color w:val="auto"/>
        </w:rPr>
      </w:pPr>
    </w:p>
    <w:p>
      <w:pPr>
        <w:ind w:left="1"/>
        <w:spacing w:after="0"/>
        <w:rPr>
          <w:sz w:val="20"/>
          <w:szCs w:val="20"/>
          <w:color w:val="auto"/>
        </w:rPr>
      </w:pPr>
      <w:r>
        <w:rPr>
          <w:rFonts w:ascii="Arial" w:cs="Arial" w:eastAsia="Arial" w:hAnsi="Arial"/>
          <w:sz w:val="14"/>
          <w:szCs w:val="14"/>
          <w:color w:val="auto"/>
        </w:rPr>
        <w:t>Unrealized Gains (Losses) on Available-for-sale Securities:</w:t>
      </w:r>
    </w:p>
    <w:p>
      <w:pPr>
        <w:spacing w:after="0" w:line="13" w:lineRule="exact"/>
        <w:rPr>
          <w:sz w:val="20"/>
          <w:szCs w:val="20"/>
          <w:color w:val="auto"/>
        </w:rPr>
      </w:pPr>
    </w:p>
    <w:p>
      <w:pPr>
        <w:ind w:left="241"/>
        <w:spacing w:after="0"/>
        <w:rPr>
          <w:sz w:val="20"/>
          <w:szCs w:val="20"/>
          <w:color w:val="auto"/>
        </w:rPr>
      </w:pPr>
      <w:r>
        <w:rPr>
          <w:rFonts w:ascii="Arial" w:cs="Arial" w:eastAsia="Arial" w:hAnsi="Arial"/>
          <w:sz w:val="15"/>
          <w:szCs w:val="15"/>
          <w:color w:val="auto"/>
        </w:rPr>
        <w:t>Realized gains for the period</w:t>
      </w:r>
    </w:p>
    <w:p>
      <w:pPr>
        <w:spacing w:after="0" w:line="374" w:lineRule="exact"/>
        <w:rPr>
          <w:sz w:val="20"/>
          <w:szCs w:val="20"/>
          <w:color w:val="auto"/>
        </w:rPr>
      </w:pPr>
    </w:p>
    <w:p>
      <w:pPr>
        <w:ind w:left="1"/>
        <w:spacing w:after="0"/>
        <w:rPr>
          <w:sz w:val="20"/>
          <w:szCs w:val="20"/>
          <w:color w:val="auto"/>
        </w:rPr>
      </w:pPr>
      <w:r>
        <w:rPr>
          <w:rFonts w:ascii="Arial" w:cs="Arial" w:eastAsia="Arial" w:hAnsi="Arial"/>
          <w:sz w:val="15"/>
          <w:szCs w:val="15"/>
          <w:color w:val="auto"/>
        </w:rPr>
        <w:t>Pension and Other Postretirement Plans</w:t>
      </w:r>
    </w:p>
    <w:p>
      <w:pPr>
        <w:spacing w:after="0" w:line="1" w:lineRule="exact"/>
        <w:rPr>
          <w:sz w:val="20"/>
          <w:szCs w:val="20"/>
          <w:color w:val="auto"/>
        </w:rPr>
      </w:pPr>
    </w:p>
    <w:p>
      <w:pPr>
        <w:ind w:left="241"/>
        <w:spacing w:after="0"/>
        <w:rPr>
          <w:sz w:val="20"/>
          <w:szCs w:val="20"/>
          <w:color w:val="auto"/>
        </w:rPr>
      </w:pPr>
      <w:r>
        <w:rPr>
          <w:rFonts w:ascii="Arial" w:cs="Arial" w:eastAsia="Arial" w:hAnsi="Arial"/>
          <w:sz w:val="15"/>
          <w:szCs w:val="15"/>
          <w:color w:val="auto"/>
        </w:rPr>
        <w:t>Amortization of net prior service credit</w:t>
      </w:r>
    </w:p>
    <w:p>
      <w:pPr>
        <w:spacing w:after="0" w:line="1" w:lineRule="exact"/>
        <w:rPr>
          <w:sz w:val="20"/>
          <w:szCs w:val="20"/>
          <w:color w:val="auto"/>
        </w:rPr>
      </w:pPr>
    </w:p>
    <w:p>
      <w:pPr>
        <w:ind w:left="241"/>
        <w:spacing w:after="0"/>
        <w:rPr>
          <w:sz w:val="20"/>
          <w:szCs w:val="20"/>
          <w:color w:val="auto"/>
        </w:rPr>
      </w:pPr>
      <w:r>
        <w:rPr>
          <w:rFonts w:ascii="Arial" w:cs="Arial" w:eastAsia="Arial" w:hAnsi="Arial"/>
          <w:sz w:val="15"/>
          <w:szCs w:val="15"/>
          <w:color w:val="auto"/>
        </w:rPr>
        <w:t>Amortization of net actuarial loss</w:t>
      </w:r>
    </w:p>
    <w:p>
      <w:pPr>
        <w:spacing w:after="0" w:line="1" w:lineRule="exact"/>
        <w:rPr>
          <w:sz w:val="20"/>
          <w:szCs w:val="20"/>
          <w:color w:val="auto"/>
        </w:rPr>
      </w:pPr>
    </w:p>
    <w:p>
      <w:pPr>
        <w:ind w:left="241"/>
        <w:spacing w:after="0"/>
        <w:rPr>
          <w:sz w:val="20"/>
          <w:szCs w:val="20"/>
          <w:color w:val="auto"/>
        </w:rPr>
      </w:pPr>
      <w:r>
        <w:rPr>
          <w:rFonts w:ascii="Arial" w:cs="Arial" w:eastAsia="Arial" w:hAnsi="Arial"/>
          <w:sz w:val="15"/>
          <w:szCs w:val="15"/>
          <w:color w:val="auto"/>
        </w:rPr>
        <w:t>Settlement gain</w:t>
      </w:r>
    </w:p>
    <w:p>
      <w:pPr>
        <w:spacing w:after="0" w:line="200" w:lineRule="exact"/>
        <w:rPr>
          <w:sz w:val="20"/>
          <w:szCs w:val="20"/>
          <w:color w:val="auto"/>
        </w:rPr>
      </w:pPr>
    </w:p>
    <w:p>
      <w:pPr>
        <w:spacing w:after="0" w:line="360" w:lineRule="exact"/>
        <w:rPr>
          <w:sz w:val="20"/>
          <w:szCs w:val="20"/>
          <w:color w:val="auto"/>
        </w:rPr>
      </w:pPr>
    </w:p>
    <w:p>
      <w:pPr>
        <w:ind w:left="1"/>
        <w:spacing w:after="0"/>
        <w:rPr>
          <w:sz w:val="20"/>
          <w:szCs w:val="20"/>
          <w:color w:val="auto"/>
        </w:rPr>
      </w:pPr>
      <w:r>
        <w:rPr>
          <w:rFonts w:ascii="Arial" w:cs="Arial" w:eastAsia="Arial" w:hAnsi="Arial"/>
          <w:sz w:val="15"/>
          <w:szCs w:val="15"/>
          <w:color w:val="auto"/>
        </w:rPr>
        <w:t>Cash Flow Hedge</w:t>
      </w:r>
    </w:p>
    <w:p>
      <w:pPr>
        <w:spacing w:after="0" w:line="200" w:lineRule="exact"/>
        <w:rPr>
          <w:sz w:val="20"/>
          <w:szCs w:val="20"/>
          <w:color w:val="auto"/>
        </w:rPr>
      </w:pPr>
    </w:p>
    <w:p>
      <w:pPr>
        <w:spacing w:after="0" w:line="360" w:lineRule="exact"/>
        <w:rPr>
          <w:sz w:val="20"/>
          <w:szCs w:val="20"/>
          <w:color w:val="auto"/>
        </w:rPr>
      </w:pPr>
    </w:p>
    <w:p>
      <w:pPr>
        <w:ind w:left="1"/>
        <w:spacing w:after="0"/>
        <w:rPr>
          <w:sz w:val="20"/>
          <w:szCs w:val="20"/>
          <w:color w:val="auto"/>
        </w:rPr>
      </w:pPr>
      <w:r>
        <w:rPr>
          <w:rFonts w:ascii="Arial" w:cs="Arial" w:eastAsia="Arial" w:hAnsi="Arial"/>
          <w:sz w:val="15"/>
          <w:szCs w:val="15"/>
          <w:color w:val="auto"/>
        </w:rPr>
        <w:t>Total reclassification for the period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jc w:val="right"/>
              <w:ind w:right="1046"/>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(551)</w:t>
            </w:r>
          </w:p>
        </w:tc>
        <w:tc>
          <w:tcPr>
            <w:tcW w:w="2140" w:type="dxa"/>
            <w:vAlign w:val="bottom"/>
          </w:tcPr>
          <w:p>
            <w:pPr>
              <w:ind w:left="240"/>
              <w:spacing w:after="0"/>
              <w:rPr>
                <w:sz w:val="20"/>
                <w:szCs w:val="20"/>
                <w:color w:val="auto"/>
              </w:rPr>
            </w:pPr>
            <w:r>
              <w:rPr>
                <w:rFonts w:ascii="Arial" w:cs="Arial" w:eastAsia="Arial" w:hAnsi="Arial"/>
                <w:sz w:val="15"/>
                <w:szCs w:val="15"/>
                <w:color w:val="auto"/>
                <w:w w:val="97"/>
              </w:rPr>
              <w:t>Other (Expense) Income, net</w:t>
            </w:r>
          </w:p>
        </w:tc>
      </w:tr>
      <w:tr>
        <w:trPr>
          <w:trHeight w:val="172"/>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c>
          <w:tcPr>
            <w:tcW w:w="2140" w:type="dxa"/>
            <w:vAlign w:val="bottom"/>
          </w:tcPr>
          <w:p>
            <w:pPr>
              <w:ind w:left="240"/>
              <w:spacing w:after="0"/>
              <w:rPr>
                <w:sz w:val="20"/>
                <w:szCs w:val="20"/>
                <w:color w:val="auto"/>
              </w:rPr>
            </w:pPr>
            <w:r>
              <w:rPr>
                <w:rFonts w:ascii="Arial" w:cs="Arial" w:eastAsia="Arial" w:hAnsi="Arial"/>
                <w:sz w:val="15"/>
                <w:szCs w:val="15"/>
                <w:color w:val="auto"/>
              </w:rPr>
              <w:t>Provision for Income Taxes</w:t>
            </w:r>
          </w:p>
        </w:tc>
      </w:tr>
      <w:tr>
        <w:trPr>
          <w:trHeight w:val="166"/>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(331)</w:t>
            </w:r>
          </w:p>
        </w:tc>
        <w:tc>
          <w:tcPr>
            <w:tcW w:w="2140" w:type="dxa"/>
            <w:vAlign w:val="bottom"/>
          </w:tcPr>
          <w:p>
            <w:pPr>
              <w:ind w:left="240"/>
              <w:spacing w:after="0" w:line="167" w:lineRule="exact"/>
              <w:rPr>
                <w:sz w:val="20"/>
                <w:szCs w:val="20"/>
                <w:color w:val="auto"/>
              </w:rPr>
            </w:pPr>
            <w:r>
              <w:rPr>
                <w:rFonts w:ascii="Arial" w:cs="Arial" w:eastAsia="Arial" w:hAnsi="Arial"/>
                <w:sz w:val="15"/>
                <w:szCs w:val="15"/>
                <w:color w:val="auto"/>
              </w:rPr>
              <w:t>Net of Tax</w:t>
            </w:r>
          </w:p>
        </w:tc>
      </w:tr>
      <w:tr>
        <w:trPr>
          <w:trHeight w:val="339"/>
        </w:trPr>
        <w:tc>
          <w:tcPr>
            <w:tcW w:w="13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(437)</w:t>
            </w:r>
          </w:p>
        </w:tc>
        <w:tc>
          <w:tcPr>
            <w:tcW w:w="2140" w:type="dxa"/>
            <w:vAlign w:val="bottom"/>
          </w:tcPr>
          <w:p>
            <w:pPr>
              <w:ind w:left="240"/>
              <w:spacing w:after="0"/>
              <w:rPr>
                <w:sz w:val="20"/>
                <w:szCs w:val="20"/>
                <w:color w:val="auto"/>
              </w:rPr>
            </w:pPr>
            <w:r>
              <w:rPr>
                <w:rFonts w:ascii="Arial" w:cs="Arial" w:eastAsia="Arial" w:hAnsi="Arial"/>
                <w:sz w:val="12"/>
                <w:szCs w:val="12"/>
                <w:color w:val="auto"/>
              </w:rPr>
              <w:t>(1)</w:t>
            </w:r>
          </w:p>
        </w:tc>
      </w:tr>
      <w:tr>
        <w:trPr>
          <w:trHeight w:val="174"/>
        </w:trPr>
        <w:tc>
          <w:tcPr>
            <w:tcW w:w="1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2,317</w:t>
            </w:r>
          </w:p>
        </w:tc>
        <w:tc>
          <w:tcPr>
            <w:tcW w:w="2140" w:type="dxa"/>
            <w:vAlign w:val="bottom"/>
          </w:tcPr>
          <w:p>
            <w:pPr>
              <w:ind w:left="240"/>
              <w:spacing w:after="0"/>
              <w:rPr>
                <w:sz w:val="20"/>
                <w:szCs w:val="20"/>
                <w:color w:val="auto"/>
              </w:rPr>
            </w:pPr>
            <w:r>
              <w:rPr>
                <w:rFonts w:ascii="Arial" w:cs="Arial" w:eastAsia="Arial" w:hAnsi="Arial"/>
                <w:sz w:val="12"/>
                <w:szCs w:val="12"/>
                <w:color w:val="auto"/>
              </w:rPr>
              <w:t>(1)</w:t>
            </w:r>
          </w:p>
        </w:tc>
      </w:tr>
      <w:tr>
        <w:trPr>
          <w:trHeight w:val="174"/>
        </w:trPr>
        <w:tc>
          <w:tcPr>
            <w:tcW w:w="1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(3,471)</w:t>
            </w:r>
          </w:p>
        </w:tc>
        <w:tc>
          <w:tcPr>
            <w:tcW w:w="2140" w:type="dxa"/>
            <w:vAlign w:val="bottom"/>
          </w:tcPr>
          <w:p>
            <w:pPr>
              <w:ind w:left="240"/>
              <w:spacing w:after="0"/>
              <w:rPr>
                <w:sz w:val="20"/>
                <w:szCs w:val="20"/>
                <w:color w:val="auto"/>
              </w:rPr>
            </w:pPr>
            <w:r>
              <w:rPr>
                <w:rFonts w:ascii="Arial" w:cs="Arial" w:eastAsia="Arial" w:hAnsi="Arial"/>
                <w:sz w:val="12"/>
                <w:szCs w:val="12"/>
                <w:color w:val="auto"/>
              </w:rPr>
              <w:t>(1)</w:t>
            </w:r>
          </w:p>
        </w:tc>
      </w:tr>
      <w:tr>
        <w:trPr>
          <w:trHeight w:val="168"/>
        </w:trPr>
        <w:tc>
          <w:tcPr>
            <w:tcW w:w="13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Arial" w:cs="Arial" w:eastAsia="Arial" w:hAnsi="Arial"/>
                <w:sz w:val="15"/>
                <w:szCs w:val="15"/>
                <w:color w:val="auto"/>
              </w:rPr>
              <w:t>(1,591)</w:t>
            </w:r>
          </w:p>
        </w:tc>
        <w:tc>
          <w:tcPr>
            <w:tcW w:w="2140" w:type="dxa"/>
            <w:vAlign w:val="bottom"/>
          </w:tcPr>
          <w:p>
            <w:pPr>
              <w:ind w:left="240"/>
              <w:spacing w:after="0" w:line="168" w:lineRule="exact"/>
              <w:rPr>
                <w:sz w:val="20"/>
                <w:szCs w:val="20"/>
                <w:color w:val="auto"/>
              </w:rPr>
            </w:pPr>
            <w:r>
              <w:rPr>
                <w:rFonts w:ascii="Arial" w:cs="Arial" w:eastAsia="Arial" w:hAnsi="Arial"/>
                <w:sz w:val="15"/>
                <w:szCs w:val="15"/>
                <w:color w:val="auto"/>
              </w:rPr>
              <w:t>Before tax</w:t>
            </w:r>
          </w:p>
        </w:tc>
      </w:tr>
      <w:tr>
        <w:trPr>
          <w:trHeight w:val="172"/>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w:t>
            </w:r>
          </w:p>
        </w:tc>
        <w:tc>
          <w:tcPr>
            <w:tcW w:w="2140" w:type="dxa"/>
            <w:vAlign w:val="bottom"/>
          </w:tcPr>
          <w:p>
            <w:pPr>
              <w:ind w:left="240"/>
              <w:spacing w:after="0"/>
              <w:rPr>
                <w:sz w:val="20"/>
                <w:szCs w:val="20"/>
                <w:color w:val="auto"/>
              </w:rPr>
            </w:pPr>
            <w:r>
              <w:rPr>
                <w:rFonts w:ascii="Arial" w:cs="Arial" w:eastAsia="Arial" w:hAnsi="Arial"/>
                <w:sz w:val="15"/>
                <w:szCs w:val="15"/>
                <w:color w:val="auto"/>
              </w:rPr>
              <w:t>Provision for Income Taxes</w:t>
            </w:r>
          </w:p>
        </w:tc>
      </w:tr>
      <w:tr>
        <w:trPr>
          <w:trHeight w:val="166"/>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(955)</w:t>
            </w:r>
          </w:p>
        </w:tc>
        <w:tc>
          <w:tcPr>
            <w:tcW w:w="2140" w:type="dxa"/>
            <w:vAlign w:val="bottom"/>
          </w:tcPr>
          <w:p>
            <w:pPr>
              <w:ind w:left="240"/>
              <w:spacing w:after="0" w:line="167" w:lineRule="exact"/>
              <w:rPr>
                <w:sz w:val="20"/>
                <w:szCs w:val="20"/>
                <w:color w:val="auto"/>
              </w:rPr>
            </w:pPr>
            <w:r>
              <w:rPr>
                <w:rFonts w:ascii="Arial" w:cs="Arial" w:eastAsia="Arial" w:hAnsi="Arial"/>
                <w:sz w:val="15"/>
                <w:szCs w:val="15"/>
                <w:color w:val="auto"/>
              </w:rPr>
              <w:t>Net of Tax</w:t>
            </w:r>
          </w:p>
        </w:tc>
      </w:tr>
      <w:tr>
        <w:trPr>
          <w:trHeight w:val="342"/>
        </w:trPr>
        <w:tc>
          <w:tcPr>
            <w:tcW w:w="13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186</w:t>
            </w:r>
          </w:p>
        </w:tc>
        <w:tc>
          <w:tcPr>
            <w:tcW w:w="2140" w:type="dxa"/>
            <w:vAlign w:val="bottom"/>
          </w:tcPr>
          <w:p>
            <w:pPr>
              <w:ind w:left="240"/>
              <w:spacing w:after="0"/>
              <w:rPr>
                <w:sz w:val="20"/>
                <w:szCs w:val="20"/>
                <w:color w:val="auto"/>
              </w:rPr>
            </w:pPr>
            <w:r>
              <w:rPr>
                <w:rFonts w:ascii="Arial" w:cs="Arial" w:eastAsia="Arial" w:hAnsi="Arial"/>
                <w:sz w:val="15"/>
                <w:szCs w:val="15"/>
                <w:color w:val="auto"/>
              </w:rPr>
              <w:t>Interest Expense</w:t>
            </w:r>
          </w:p>
        </w:tc>
      </w:tr>
      <w:tr>
        <w:trPr>
          <w:trHeight w:val="172"/>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140" w:type="dxa"/>
            <w:vAlign w:val="bottom"/>
          </w:tcPr>
          <w:p>
            <w:pPr>
              <w:ind w:left="240"/>
              <w:spacing w:after="0"/>
              <w:rPr>
                <w:sz w:val="20"/>
                <w:szCs w:val="20"/>
                <w:color w:val="auto"/>
              </w:rPr>
            </w:pPr>
            <w:r>
              <w:rPr>
                <w:rFonts w:ascii="Arial" w:cs="Arial" w:eastAsia="Arial" w:hAnsi="Arial"/>
                <w:sz w:val="15"/>
                <w:szCs w:val="15"/>
                <w:color w:val="auto"/>
              </w:rPr>
              <w:t>Provision for Income Taxes</w:t>
            </w:r>
          </w:p>
        </w:tc>
      </w:tr>
      <w:tr>
        <w:trPr>
          <w:trHeight w:val="166"/>
        </w:trPr>
        <w:tc>
          <w:tcPr>
            <w:tcW w:w="1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112</w:t>
            </w:r>
          </w:p>
        </w:tc>
        <w:tc>
          <w:tcPr>
            <w:tcW w:w="2140" w:type="dxa"/>
            <w:vAlign w:val="bottom"/>
          </w:tcPr>
          <w:p>
            <w:pPr>
              <w:ind w:left="240"/>
              <w:spacing w:after="0" w:line="167" w:lineRule="exact"/>
              <w:rPr>
                <w:sz w:val="20"/>
                <w:szCs w:val="20"/>
                <w:color w:val="auto"/>
              </w:rPr>
            </w:pPr>
            <w:r>
              <w:rPr>
                <w:rFonts w:ascii="Arial" w:cs="Arial" w:eastAsia="Arial" w:hAnsi="Arial"/>
                <w:sz w:val="15"/>
                <w:szCs w:val="15"/>
                <w:color w:val="auto"/>
              </w:rPr>
              <w:t>Net of Tax</w:t>
            </w:r>
          </w:p>
        </w:tc>
      </w:tr>
      <w:tr>
        <w:trPr>
          <w:trHeight w:val="166"/>
        </w:trPr>
        <w:tc>
          <w:tcPr>
            <w:tcW w:w="1340" w:type="dxa"/>
            <w:vAlign w:val="bottom"/>
            <w:tcBorders>
              <w:bottom w:val="single" w:sz="8" w:color="auto"/>
            </w:tcBorders>
          </w:tcPr>
          <w:p>
            <w:pPr>
              <w:jc w:val="right"/>
              <w:ind w:right="1046"/>
              <w:spacing w:after="0" w:line="167" w:lineRule="exact"/>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(1,174)</w:t>
            </w:r>
          </w:p>
        </w:tc>
        <w:tc>
          <w:tcPr>
            <w:tcW w:w="2140" w:type="dxa"/>
            <w:vAlign w:val="bottom"/>
          </w:tcPr>
          <w:p>
            <w:pPr>
              <w:ind w:left="240"/>
              <w:spacing w:after="0" w:line="167" w:lineRule="exact"/>
              <w:rPr>
                <w:sz w:val="20"/>
                <w:szCs w:val="20"/>
                <w:color w:val="auto"/>
              </w:rPr>
            </w:pPr>
            <w:r>
              <w:rPr>
                <w:rFonts w:ascii="Arial" w:cs="Arial" w:eastAsia="Arial" w:hAnsi="Arial"/>
                <w:sz w:val="15"/>
                <w:szCs w:val="15"/>
                <w:color w:val="auto"/>
              </w:rPr>
              <w:t>Net of Tax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8834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341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441" w:space="720"/>
            <w:col w:w="6260"/>
          </w:cols>
          <w:pgMar w:left="239" w:top="871" w:right="239" w:bottom="1440" w:gutter="0" w:footer="0" w:header="0"/>
          <w:type w:val="continuous"/>
        </w:sectPr>
      </w:pPr>
    </w:p>
    <w:p>
      <w:pPr>
        <w:ind w:left="1"/>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401" w:hanging="401"/>
        <w:spacing w:after="0"/>
        <w:tabs>
          <w:tab w:leader="none" w:pos="401"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These accumulated other comprehensive income components are included in the computation of net periodic pension cost (see Note 9).</w:t>
      </w:r>
    </w:p>
    <w:p>
      <w:pPr>
        <w:spacing w:after="0" w:line="164" w:lineRule="exact"/>
        <w:rPr>
          <w:rFonts w:ascii="Arial" w:cs="Arial" w:eastAsia="Arial" w:hAnsi="Arial"/>
          <w:sz w:val="12"/>
          <w:szCs w:val="12"/>
          <w:color w:val="auto"/>
        </w:rPr>
      </w:pPr>
    </w:p>
    <w:p>
      <w:pPr>
        <w:ind w:left="281" w:hanging="281"/>
        <w:spacing w:after="0"/>
        <w:tabs>
          <w:tab w:leader="none" w:pos="281"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w:t>
      </w:r>
    </w:p>
    <w:p>
      <w:pPr>
        <w:spacing w:after="0" w:line="177" w:lineRule="exact"/>
        <w:rPr>
          <w:sz w:val="20"/>
          <w:szCs w:val="20"/>
          <w:color w:val="auto"/>
        </w:rPr>
      </w:pPr>
    </w:p>
    <w:p>
      <w:pPr>
        <w:ind w:left="1" w:right="60"/>
        <w:spacing w:after="0" w:line="235" w:lineRule="auto"/>
        <w:rPr>
          <w:sz w:val="20"/>
          <w:szCs w:val="20"/>
          <w:color w:val="auto"/>
        </w:rPr>
      </w:pPr>
      <w:r>
        <w:rPr>
          <w:rFonts w:ascii="Arial" w:cs="Arial" w:eastAsia="Arial" w:hAnsi="Arial"/>
          <w:sz w:val="17"/>
          <w:szCs w:val="17"/>
          <w:b w:val="1"/>
          <w:bCs w:val="1"/>
          <w:color w:val="auto"/>
        </w:rPr>
        <w:t xml:space="preserve">Litigation and Legal Matters. </w:t>
      </w:r>
      <w:r>
        <w:rPr>
          <w:rFonts w:ascii="Arial" w:cs="Arial" w:eastAsia="Arial" w:hAnsi="Arial"/>
          <w:sz w:val="17"/>
          <w:szCs w:val="17"/>
          <w:color w:val="auto"/>
        </w:rPr>
        <w:t>The Company and its subsidiaries are involved in various legal proceedings that arise in the ordinary course of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75" w:lineRule="exact"/>
        <w:rPr>
          <w:sz w:val="20"/>
          <w:szCs w:val="20"/>
          <w:color w:val="auto"/>
        </w:rPr>
      </w:pPr>
    </w:p>
    <w:p>
      <w:pPr>
        <w:ind w:left="1"/>
        <w:spacing w:after="0" w:line="230" w:lineRule="auto"/>
        <w:rPr>
          <w:sz w:val="20"/>
          <w:szCs w:val="20"/>
          <w:color w:val="auto"/>
        </w:rPr>
      </w:pPr>
      <w:r>
        <w:rPr>
          <w:rFonts w:ascii="Arial" w:cs="Arial" w:eastAsia="Arial" w:hAnsi="Arial"/>
          <w:sz w:val="17"/>
          <w:szCs w:val="17"/>
          <w:color w:val="auto"/>
        </w:rPr>
        <w:t>A purported class-action complaint was filed against the Company, Donald E. Graham and Hal S. Jones on October 28, 2010, in the U.S. District Court for the District of Columbia, by the Plumbers Local #200 Pension Fund. The complaint alleged that the Company and certain of its officers made materially false and misleading statements, or failed to disclose material facts relating to KHE, in violation of the U.S. Federal securities laws. The complaint sought damages, attorneys’ fees, costs and equitable/injunctive relief. The Company moved to dismiss the complaint, and on December 23, 2011, the court granted the Company’s motion and dismissed the case with prejudice. On January 25, 2012, the Plaintiff filed a motion seeking leave to amend or alter that final judgment, which the court granted in part on March 13, 2012 by allowing the Plaintiff to file an amended complaint. On May 11, 2012, the Company moved to dismiss the amended complaint. On March 19, 2013, the court granted the Company’s motion and dismissed the case.</w:t>
      </w:r>
    </w:p>
    <w:p>
      <w:pPr>
        <w:spacing w:after="0" w:line="158" w:lineRule="exact"/>
        <w:rPr>
          <w:sz w:val="20"/>
          <w:szCs w:val="20"/>
          <w:color w:val="auto"/>
        </w:rPr>
      </w:pPr>
    </w:p>
    <w:p>
      <w:pPr>
        <w:ind w:left="1" w:right="40"/>
        <w:spacing w:after="0" w:line="235" w:lineRule="auto"/>
        <w:rPr>
          <w:sz w:val="20"/>
          <w:szCs w:val="20"/>
          <w:color w:val="auto"/>
        </w:rPr>
      </w:pPr>
      <w:r>
        <w:rPr>
          <w:rFonts w:ascii="Arial" w:cs="Arial" w:eastAsia="Arial" w:hAnsi="Arial"/>
          <w:sz w:val="17"/>
          <w:szCs w:val="17"/>
          <w:b w:val="1"/>
          <w:bCs w:val="1"/>
          <w:color w:val="auto"/>
        </w:rPr>
        <w:t xml:space="preserve">DOE Program Reviews. </w:t>
      </w:r>
      <w:r>
        <w:rPr>
          <w:rFonts w:ascii="Arial" w:cs="Arial" w:eastAsia="Arial" w:hAnsi="Arial"/>
          <w:sz w:val="17"/>
          <w:szCs w:val="17"/>
          <w:color w:val="auto"/>
        </w:rPr>
        <w:t>The U.S. Department of Education (DOE) undertakes program reviews at Title IV participating institutions. Currently, there are</w:t>
      </w:r>
      <w:r>
        <w:rPr>
          <w:rFonts w:ascii="Arial" w:cs="Arial" w:eastAsia="Arial" w:hAnsi="Arial"/>
          <w:sz w:val="17"/>
          <w:szCs w:val="17"/>
          <w:b w:val="1"/>
          <w:bCs w:val="1"/>
          <w:color w:val="auto"/>
        </w:rPr>
        <w:t xml:space="preserve"> </w:t>
      </w:r>
      <w:r>
        <w:rPr>
          <w:rFonts w:ascii="Arial" w:cs="Arial" w:eastAsia="Arial" w:hAnsi="Arial"/>
          <w:sz w:val="17"/>
          <w:szCs w:val="17"/>
          <w:color w:val="auto"/>
        </w:rPr>
        <w:t>four pending program reviews, including Kaplan University. In addition, the Company is awaiting the DOE’s final report on the program review at KHE’s Broomall, PA, location. In May 2012, the DOE issued a preliminary report on its 2009 onsite program review at Kaplan University containing several findings that required Kaplan University to conduct additional, detailed file reviews and submit additional data. In January 2013, Kaplan submitted a response to the DOE’s data request and is awaiting a final report on this review. The Company does not expect the final program review report to have a material impact on KHE; however, the results of this and the other open reviews and their impact on Kaplan’s operations are uncertain.</w:t>
      </w:r>
    </w:p>
    <w:p>
      <w:pPr>
        <w:spacing w:after="0" w:line="155" w:lineRule="exact"/>
        <w:rPr>
          <w:sz w:val="20"/>
          <w:szCs w:val="20"/>
          <w:color w:val="auto"/>
        </w:rPr>
      </w:pPr>
    </w:p>
    <w:p>
      <w:pPr>
        <w:ind w:left="1" w:right="20"/>
        <w:spacing w:after="0" w:line="238" w:lineRule="auto"/>
        <w:rPr>
          <w:sz w:val="20"/>
          <w:szCs w:val="20"/>
          <w:color w:val="auto"/>
        </w:rPr>
      </w:pPr>
      <w:r>
        <w:rPr>
          <w:rFonts w:ascii="Arial" w:cs="Arial" w:eastAsia="Arial" w:hAnsi="Arial"/>
          <w:sz w:val="17"/>
          <w:szCs w:val="17"/>
          <w:b w:val="1"/>
          <w:bCs w:val="1"/>
          <w:color w:val="auto"/>
        </w:rPr>
        <w:t>The 90/10 Rule</w:t>
      </w:r>
      <w:r>
        <w:rPr>
          <w:rFonts w:ascii="Arial" w:cs="Arial" w:eastAsia="Arial" w:hAnsi="Arial"/>
          <w:sz w:val="17"/>
          <w:szCs w:val="17"/>
          <w:color w:val="auto"/>
        </w:rPr>
        <w:t>. Under regulations referred to as the 90/10 rule, a KHE OPEID unit would lose its eligibility to participate in Title IV programs for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two fiscal years if it derives more than 90% of its receipts from Title IV programs, as calculated on a cash basis in accordance with the Higher Education Act and applicable DOE regulations, in each of two consecutive fiscal years, commencing with the unit’s first fiscal year that ends after August 14, 2008.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8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871" w:right="239" w:bottom="1440" w:gutter="0" w:footer="0" w:header="0"/>
          <w:type w:val="continuous"/>
        </w:sectPr>
      </w:pPr>
    </w:p>
    <w:bookmarkStart w:id="18" w:name="page19"/>
    <w:bookmarkEnd w:id="18"/>
    <w:p>
      <w:pPr>
        <w:ind w:right="40"/>
        <w:spacing w:after="0" w:line="230" w:lineRule="auto"/>
        <w:rPr>
          <w:sz w:val="20"/>
          <w:szCs w:val="20"/>
          <w:color w:val="auto"/>
        </w:rPr>
      </w:pPr>
      <w:r>
        <w:rPr>
          <w:rFonts w:ascii="Arial" w:cs="Arial" w:eastAsia="Arial" w:hAnsi="Arial"/>
          <w:sz w:val="17"/>
          <w:szCs w:val="17"/>
          <w:color w:val="auto"/>
        </w:rPr>
        <w:t>OPEID unit with Title IV receipts exceeding 90% for a single fiscal year ending after August 14, 2008, will be placed on provisional certification and may be subject to other enforcement measures.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Some of the other programs may currently be offered by other Kaplan businesses. Absent the adoption of the changes mentioned above, and if current trends continue, management estimates that in 2013, at least 17 of the KHE Campuses’ OPEID units, representing approximately 19% of KHE’s 2012 revenues, could have a 90/10 ratio over 90%. As noted above, Kaplan is taking steps to address compliance with the 90/10 rule; however, there can be no guarantee that these measures will be adequate to prevent the 90/10 rule calculations at some or all of the schools from exceeding 90%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BUSINESS SEGMENTS</w:t>
      </w:r>
    </w:p>
    <w:p>
      <w:pPr>
        <w:spacing w:after="0" w:line="197" w:lineRule="exact"/>
        <w:rPr>
          <w:sz w:val="20"/>
          <w:szCs w:val="20"/>
          <w:color w:val="auto"/>
        </w:rPr>
      </w:pPr>
    </w:p>
    <w:p>
      <w:pPr>
        <w:ind w:right="520"/>
        <w:spacing w:after="0" w:line="235" w:lineRule="auto"/>
        <w:rPr>
          <w:sz w:val="20"/>
          <w:szCs w:val="20"/>
          <w:color w:val="auto"/>
        </w:rPr>
      </w:pPr>
      <w:r>
        <w:rPr>
          <w:rFonts w:ascii="Arial" w:cs="Arial" w:eastAsia="Arial" w:hAnsi="Arial"/>
          <w:sz w:val="17"/>
          <w:szCs w:val="17"/>
          <w:color w:val="auto"/>
        </w:rPr>
        <w:t>The Company has seven reportable segments: Kaplan Higher Education, Kaplan Test Preparation, Kaplan International, cable television, newspaper publishing, and television broadcasting and other businesses.</w:t>
      </w:r>
    </w:p>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Kaplan’s Colloquy business moved from Kaplan International to Kaplan Corporate effective January 1, 2013. Segment operating results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education division have been restated to reflect this change.</w:t>
      </w:r>
    </w:p>
    <w:p>
      <w:pPr>
        <w:spacing w:after="0" w:line="143"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color w:val="auto"/>
        </w:rPr>
        <w:t xml:space="preserve">Newspaper Publishing. </w:t>
      </w:r>
      <w:r>
        <w:rPr>
          <w:rFonts w:ascii="Arial" w:cs="Arial" w:eastAsia="Arial" w:hAnsi="Arial"/>
          <w:sz w:val="17"/>
          <w:szCs w:val="17"/>
          <w:color w:val="auto"/>
        </w:rPr>
        <w:t>In March 2013, the Company completed the sale of The Herald, a daily and Sunday newspaper headquartered in Everett, WA. As</w:t>
      </w:r>
      <w:r>
        <w:rPr>
          <w:rFonts w:ascii="Arial" w:cs="Arial" w:eastAsia="Arial" w:hAnsi="Arial"/>
          <w:sz w:val="17"/>
          <w:szCs w:val="17"/>
          <w:b w:val="1"/>
          <w:bCs w:val="1"/>
          <w:color w:val="auto"/>
        </w:rPr>
        <w:t xml:space="preserve"> </w:t>
      </w:r>
      <w:r>
        <w:rPr>
          <w:rFonts w:ascii="Arial" w:cs="Arial" w:eastAsia="Arial" w:hAnsi="Arial"/>
          <w:sz w:val="17"/>
          <w:szCs w:val="17"/>
          <w:color w:val="auto"/>
        </w:rPr>
        <w:t>a result, The Herald results are included in discontinued operations, net of tax, for all periods presented. The newspaper publishing segment operating results have been restated to reflect this change.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0"/>
          </w:cols>
          <w:pgMar w:left="240" w:top="809"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following table summarizes the quarterly financial information related to each of the Company’s business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March 31,</w:t>
            </w:r>
          </w:p>
        </w:tc>
        <w:tc>
          <w:tcPr>
            <w:tcW w:w="280" w:type="dxa"/>
            <w:vAlign w:val="bottom"/>
          </w:tcPr>
          <w:p>
            <w:pPr>
              <w:spacing w:after="0"/>
              <w:rPr>
                <w:sz w:val="12"/>
                <w:szCs w:val="12"/>
                <w:color w:val="auto"/>
              </w:rPr>
            </w:pPr>
          </w:p>
        </w:tc>
        <w:tc>
          <w:tcPr>
            <w:tcW w:w="980" w:type="dxa"/>
            <w:vAlign w:val="bottom"/>
          </w:tcPr>
          <w:p>
            <w:pPr>
              <w:jc w:val="right"/>
              <w:ind w:right="266"/>
              <w:spacing w:after="0"/>
              <w:rPr>
                <w:sz w:val="20"/>
                <w:szCs w:val="20"/>
                <w:color w:val="auto"/>
              </w:rPr>
            </w:pPr>
            <w:r>
              <w:rPr>
                <w:rFonts w:ascii="Arial" w:cs="Arial" w:eastAsia="Arial" w:hAnsi="Arial"/>
                <w:sz w:val="12"/>
                <w:szCs w:val="12"/>
                <w:color w:val="auto"/>
              </w:rPr>
              <w:t>March 31,</w:t>
            </w:r>
          </w:p>
        </w:tc>
        <w:tc>
          <w:tcPr>
            <w:tcW w:w="280" w:type="dxa"/>
            <w:vAlign w:val="bottom"/>
          </w:tcPr>
          <w:p>
            <w:pPr>
              <w:spacing w:after="0"/>
              <w:rPr>
                <w:sz w:val="12"/>
                <w:szCs w:val="12"/>
                <w:color w:val="auto"/>
              </w:rPr>
            </w:pPr>
          </w:p>
        </w:tc>
        <w:tc>
          <w:tcPr>
            <w:tcW w:w="960" w:type="dxa"/>
            <w:vAlign w:val="bottom"/>
          </w:tcPr>
          <w:p>
            <w:pPr>
              <w:jc w:val="right"/>
              <w:ind w:right="306"/>
              <w:spacing w:after="0"/>
              <w:rPr>
                <w:sz w:val="20"/>
                <w:szCs w:val="20"/>
                <w:color w:val="auto"/>
              </w:rPr>
            </w:pPr>
            <w:r>
              <w:rPr>
                <w:rFonts w:ascii="Arial" w:cs="Arial" w:eastAsia="Arial" w:hAnsi="Arial"/>
                <w:sz w:val="12"/>
                <w:szCs w:val="12"/>
                <w:color w:val="auto"/>
              </w:rPr>
              <w:t>June 30,</w:t>
            </w:r>
          </w:p>
        </w:tc>
        <w:tc>
          <w:tcPr>
            <w:tcW w:w="200" w:type="dxa"/>
            <w:vAlign w:val="bottom"/>
          </w:tcPr>
          <w:p>
            <w:pPr>
              <w:spacing w:after="0"/>
              <w:rPr>
                <w:sz w:val="12"/>
                <w:szCs w:val="12"/>
                <w:color w:val="auto"/>
              </w:rPr>
            </w:pPr>
          </w:p>
        </w:tc>
        <w:tc>
          <w:tcPr>
            <w:tcW w:w="1040" w:type="dxa"/>
            <w:vAlign w:val="bottom"/>
          </w:tcPr>
          <w:p>
            <w:pPr>
              <w:jc w:val="right"/>
              <w:ind w:right="126"/>
              <w:spacing w:after="0"/>
              <w:rPr>
                <w:sz w:val="20"/>
                <w:szCs w:val="20"/>
                <w:color w:val="auto"/>
              </w:rPr>
            </w:pPr>
            <w:r>
              <w:rPr>
                <w:rFonts w:ascii="Arial" w:cs="Arial" w:eastAsia="Arial" w:hAnsi="Arial"/>
                <w:sz w:val="12"/>
                <w:szCs w:val="12"/>
                <w:color w:val="auto"/>
              </w:rPr>
              <w:t>September 30,</w:t>
            </w:r>
          </w:p>
        </w:tc>
        <w:tc>
          <w:tcPr>
            <w:tcW w:w="20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1"/>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2013</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28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527,815</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546,685</w:t>
            </w:r>
          </w:p>
        </w:tc>
        <w:tc>
          <w:tcPr>
            <w:tcW w:w="2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551,774</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551,696</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546,341</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200,138</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190,210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195,579</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199,625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201,703</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127,264</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132,450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139,228</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132,025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155,952</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85,270</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81,497</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95,591</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106,411</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116,192</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18,891</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4,768</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7,177</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15,834</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25,761</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28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(273)</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(397)</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959,105</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955,501</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989,103</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1,005,194</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1,045,824</w:t>
            </w:r>
          </w:p>
        </w:tc>
        <w:tc>
          <w:tcPr>
            <w:tcW w:w="0" w:type="dxa"/>
            <w:vAlign w:val="bottom"/>
          </w:tcPr>
          <w:p>
            <w:pPr>
              <w:spacing w:after="0"/>
              <w:rPr>
                <w:sz w:val="1"/>
                <w:szCs w:val="1"/>
                <w:color w:val="auto"/>
              </w:rPr>
            </w:pPr>
          </w:p>
        </w:tc>
      </w:tr>
      <w:tr>
        <w:trPr>
          <w:trHeight w:val="168"/>
        </w:trPr>
        <w:tc>
          <w:tcPr>
            <w:tcW w:w="5280" w:type="dxa"/>
            <w:vAlign w:val="bottom"/>
            <w:vMerge w:val="continue"/>
          </w:tcPr>
          <w:p>
            <w:pPr>
              <w:spacing w:after="0"/>
              <w:rPr>
                <w:sz w:val="14"/>
                <w:szCs w:val="14"/>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(4,056)</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(11,915)</w:t>
            </w:r>
          </w:p>
        </w:tc>
        <w:tc>
          <w:tcPr>
            <w:tcW w:w="2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3,728</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14,693</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(111,874)</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36,613</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32,777</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38,446</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39,913</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43,445</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(34,472)</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(20,612)</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(12,614)</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(21,985)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3,180</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35,362</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30,999</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43,728</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54,082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62,833</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(6,113)</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(4,643)</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(6,775)</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(5,248)</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(6,578)</w:t>
            </w:r>
          </w:p>
        </w:tc>
        <w:tc>
          <w:tcPr>
            <w:tcW w:w="0" w:type="dxa"/>
            <w:vAlign w:val="bottom"/>
          </w:tcPr>
          <w:p>
            <w:pPr>
              <w:spacing w:after="0"/>
              <w:rPr>
                <w:sz w:val="1"/>
                <w:szCs w:val="1"/>
                <w:color w:val="auto"/>
              </w:rPr>
            </w:pPr>
          </w:p>
        </w:tc>
      </w:tr>
      <w:tr>
        <w:trPr>
          <w:trHeight w:val="190"/>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(4,274)</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(5,308)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(3,492)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(5,694)</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(4,884)</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(Losses) of Affiliates, Net</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23,060</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21,298</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63,021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75,761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(13,878)</w:t>
            </w:r>
          </w:p>
        </w:tc>
        <w:tc>
          <w:tcPr>
            <w:tcW w:w="0" w:type="dxa"/>
            <w:vAlign w:val="bottom"/>
          </w:tcPr>
          <w:p>
            <w:pPr>
              <w:spacing w:after="0"/>
              <w:rPr>
                <w:sz w:val="1"/>
                <w:szCs w:val="1"/>
                <w:color w:val="auto"/>
              </w:rPr>
            </w:pPr>
          </w:p>
        </w:tc>
      </w:tr>
      <w:tr>
        <w:trPr>
          <w:trHeight w:val="150"/>
        </w:trPr>
        <w:tc>
          <w:tcPr>
            <w:tcW w:w="5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3,418</w:t>
            </w:r>
          </w:p>
        </w:tc>
        <w:tc>
          <w:tcPr>
            <w:tcW w:w="280" w:type="dxa"/>
            <w:vAlign w:val="bottom"/>
          </w:tcPr>
          <w:p>
            <w:pPr>
              <w:spacing w:after="0"/>
              <w:rPr>
                <w:sz w:val="13"/>
                <w:szCs w:val="13"/>
                <w:color w:val="auto"/>
              </w:rPr>
            </w:pPr>
          </w:p>
        </w:tc>
        <w:tc>
          <w:tcPr>
            <w:tcW w:w="980" w:type="dxa"/>
            <w:vAlign w:val="bottom"/>
          </w:tcPr>
          <w:p>
            <w:pPr>
              <w:jc w:val="right"/>
              <w:ind w:right="26"/>
              <w:spacing w:after="0" w:line="150" w:lineRule="exact"/>
              <w:rPr>
                <w:sz w:val="20"/>
                <w:szCs w:val="20"/>
                <w:color w:val="auto"/>
              </w:rPr>
            </w:pPr>
            <w:r>
              <w:rPr>
                <w:rFonts w:ascii="Arial" w:cs="Arial" w:eastAsia="Arial" w:hAnsi="Arial"/>
                <w:sz w:val="15"/>
                <w:szCs w:val="15"/>
                <w:color w:val="auto"/>
              </w:rPr>
              <w:t>3,888</w:t>
            </w:r>
          </w:p>
        </w:tc>
        <w:tc>
          <w:tcPr>
            <w:tcW w:w="280" w:type="dxa"/>
            <w:vAlign w:val="bottom"/>
          </w:tcPr>
          <w:p>
            <w:pPr>
              <w:spacing w:after="0"/>
              <w:rPr>
                <w:sz w:val="13"/>
                <w:szCs w:val="13"/>
                <w:color w:val="auto"/>
              </w:rPr>
            </w:pPr>
          </w:p>
        </w:tc>
        <w:tc>
          <w:tcPr>
            <w:tcW w:w="9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3,314</w:t>
            </w:r>
          </w:p>
        </w:tc>
        <w:tc>
          <w:tcPr>
            <w:tcW w:w="200" w:type="dxa"/>
            <w:vAlign w:val="bottom"/>
          </w:tcPr>
          <w:p>
            <w:pPr>
              <w:spacing w:after="0"/>
              <w:rPr>
                <w:sz w:val="13"/>
                <w:szCs w:val="13"/>
                <w:color w:val="auto"/>
              </w:rPr>
            </w:pPr>
          </w:p>
        </w:tc>
        <w:tc>
          <w:tcPr>
            <w:tcW w:w="1040" w:type="dxa"/>
            <w:vAlign w:val="bottom"/>
          </w:tcPr>
          <w:p>
            <w:pPr>
              <w:jc w:val="right"/>
              <w:ind w:right="26"/>
              <w:spacing w:after="0" w:line="150" w:lineRule="exact"/>
              <w:rPr>
                <w:sz w:val="20"/>
                <w:szCs w:val="20"/>
                <w:color w:val="auto"/>
              </w:rPr>
            </w:pPr>
            <w:r>
              <w:rPr>
                <w:rFonts w:ascii="Arial" w:cs="Arial" w:eastAsia="Arial" w:hAnsi="Arial"/>
                <w:sz w:val="15"/>
                <w:szCs w:val="15"/>
                <w:color w:val="auto"/>
              </w:rPr>
              <w:t>4,099</w:t>
            </w:r>
          </w:p>
        </w:tc>
        <w:tc>
          <w:tcPr>
            <w:tcW w:w="200" w:type="dxa"/>
            <w:vAlign w:val="bottom"/>
          </w:tcPr>
          <w:p>
            <w:pPr>
              <w:spacing w:after="0"/>
              <w:rPr>
                <w:sz w:val="13"/>
                <w:szCs w:val="13"/>
                <w:color w:val="auto"/>
              </w:rPr>
            </w:pP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2,785</w:t>
            </w:r>
          </w:p>
        </w:tc>
        <w:tc>
          <w:tcPr>
            <w:tcW w:w="0" w:type="dxa"/>
            <w:vAlign w:val="bottom"/>
          </w:tcPr>
          <w:p>
            <w:pPr>
              <w:spacing w:after="0"/>
              <w:rPr>
                <w:sz w:val="1"/>
                <w:szCs w:val="1"/>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(8,450)</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(8,094)</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(8,204)</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(8,090)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(8,163)</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20"/>
                <w:szCs w:val="20"/>
                <w:color w:val="auto"/>
              </w:rPr>
            </w:pPr>
            <w:r>
              <w:rPr>
                <w:rFonts w:ascii="Arial" w:cs="Arial" w:eastAsia="Arial" w:hAnsi="Arial"/>
                <w:sz w:val="15"/>
                <w:szCs w:val="15"/>
                <w:b w:val="1"/>
                <w:bCs w:val="1"/>
                <w:color w:val="auto"/>
              </w:rPr>
              <w:t>Other (Expense) Income, Net</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(4,083)</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8,588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(635)</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4,163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(17,572)</w:t>
            </w:r>
          </w:p>
        </w:tc>
        <w:tc>
          <w:tcPr>
            <w:tcW w:w="0" w:type="dxa"/>
            <w:vAlign w:val="bottom"/>
          </w:tcPr>
          <w:p>
            <w:pPr>
              <w:spacing w:after="0"/>
              <w:rPr>
                <w:sz w:val="1"/>
                <w:szCs w:val="1"/>
                <w:color w:val="auto"/>
              </w:rPr>
            </w:pPr>
          </w:p>
        </w:tc>
      </w:tr>
      <w:tr>
        <w:trPr>
          <w:trHeight w:val="166"/>
        </w:trPr>
        <w:tc>
          <w:tcPr>
            <w:tcW w:w="5280" w:type="dxa"/>
            <w:vAlign w:val="bottom"/>
          </w:tcPr>
          <w:p>
            <w:pPr>
              <w:spacing w:after="0" w:line="167"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13,945</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25,680</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57,496</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75,933</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(36,828)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80" w:type="dxa"/>
            <w:vAlign w:val="bottom"/>
            <w:vMerge w:val="continue"/>
          </w:tcPr>
          <w:p>
            <w:pPr>
              <w:spacing w:after="0"/>
              <w:rPr>
                <w:sz w:val="13"/>
                <w:szCs w:val="13"/>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22,588</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20,717</w:t>
            </w:r>
          </w:p>
        </w:tc>
        <w:tc>
          <w:tcPr>
            <w:tcW w:w="2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21,011</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22,024</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37,431</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33,733</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32,197</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32,234</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32,310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32,366</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6,015</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5,885</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5,934</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5,932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5,993</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3,145</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3,125</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3,222</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3,126</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3,545</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310</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90"/>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 and</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65,791</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61,924</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62,401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63,397</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79,593</w:t>
            </w:r>
          </w:p>
        </w:tc>
        <w:tc>
          <w:tcPr>
            <w:tcW w:w="0" w:type="dxa"/>
            <w:vAlign w:val="bottom"/>
          </w:tcPr>
          <w:p>
            <w:pPr>
              <w:spacing w:after="0"/>
              <w:rPr>
                <w:sz w:val="1"/>
                <w:szCs w:val="1"/>
                <w:color w:val="auto"/>
              </w:rPr>
            </w:pPr>
          </w:p>
        </w:tc>
      </w:tr>
      <w:tr>
        <w:trPr>
          <w:trHeight w:val="150"/>
        </w:trPr>
        <w:tc>
          <w:tcPr>
            <w:tcW w:w="5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280" w:type="dxa"/>
            <w:vAlign w:val="bottom"/>
          </w:tcPr>
          <w:p>
            <w:pPr>
              <w:ind w:left="240"/>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2,518</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3,236</w:t>
            </w:r>
          </w:p>
        </w:tc>
        <w:tc>
          <w:tcPr>
            <w:tcW w:w="2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3,803</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4,489</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117,784</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50</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54</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53</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150</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183</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172</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999</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400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400</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400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1,218</w:t>
            </w:r>
          </w:p>
        </w:tc>
        <w:tc>
          <w:tcPr>
            <w:tcW w:w="0" w:type="dxa"/>
            <w:vAlign w:val="bottom"/>
          </w:tcPr>
          <w:p>
            <w:pPr>
              <w:spacing w:after="0"/>
              <w:rPr>
                <w:sz w:val="1"/>
                <w:szCs w:val="1"/>
                <w:color w:val="auto"/>
              </w:rPr>
            </w:pPr>
          </w:p>
        </w:tc>
      </w:tr>
      <w:tr>
        <w:trPr>
          <w:trHeight w:val="190"/>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Net Pension Expense (Credit)</w:t>
            </w: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3,717</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3,873</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4,428</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5,091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119,203</w:t>
            </w:r>
          </w:p>
        </w:tc>
        <w:tc>
          <w:tcPr>
            <w:tcW w:w="0" w:type="dxa"/>
            <w:vAlign w:val="bottom"/>
          </w:tcPr>
          <w:p>
            <w:pPr>
              <w:spacing w:after="0"/>
              <w:rPr>
                <w:sz w:val="1"/>
                <w:szCs w:val="1"/>
                <w:color w:val="auto"/>
              </w:rPr>
            </w:pPr>
          </w:p>
        </w:tc>
      </w:tr>
      <w:tr>
        <w:trPr>
          <w:trHeight w:val="168"/>
        </w:trPr>
        <w:tc>
          <w:tcPr>
            <w:tcW w:w="5280" w:type="dxa"/>
            <w:vAlign w:val="bottom"/>
            <w:vMerge w:val="continue"/>
          </w:tcPr>
          <w:p>
            <w:pPr>
              <w:spacing w:after="0"/>
              <w:rPr>
                <w:sz w:val="14"/>
                <w:szCs w:val="14"/>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4,106</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2,392</w:t>
            </w:r>
          </w:p>
        </w:tc>
        <w:tc>
          <w:tcPr>
            <w:tcW w:w="2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1,969</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3,522</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3,701</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882</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530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514</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694</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22,929</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8,540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7,717</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16,140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8,954</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1,288</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960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1,055</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1,432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1,523</w:t>
            </w:r>
          </w:p>
        </w:tc>
        <w:tc>
          <w:tcPr>
            <w:tcW w:w="0" w:type="dxa"/>
            <w:vAlign w:val="bottom"/>
          </w:tcPr>
          <w:p>
            <w:pPr>
              <w:spacing w:after="0"/>
              <w:rPr>
                <w:sz w:val="1"/>
                <w:szCs w:val="1"/>
                <w:color w:val="auto"/>
              </w:rPr>
            </w:pPr>
          </w:p>
        </w:tc>
      </w:tr>
      <w:tr>
        <w:trPr>
          <w:trHeight w:val="174"/>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b w:val="1"/>
                <w:bCs w:val="1"/>
                <w:color w:val="auto"/>
              </w:rPr>
              <w:t>76</w:t>
            </w:r>
          </w:p>
        </w:tc>
        <w:tc>
          <w:tcPr>
            <w:tcW w:w="280" w:type="dxa"/>
            <w:vAlign w:val="bottom"/>
          </w:tcPr>
          <w:p>
            <w:pPr>
              <w:spacing w:after="0"/>
              <w:rPr>
                <w:sz w:val="15"/>
                <w:szCs w:val="15"/>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18</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0"/>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(10,666)</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(9,298)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(8,896)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(9,021)</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(8,982)</w:t>
            </w:r>
          </w:p>
        </w:tc>
        <w:tc>
          <w:tcPr>
            <w:tcW w:w="0" w:type="dxa"/>
            <w:vAlign w:val="bottom"/>
          </w:tcPr>
          <w:p>
            <w:pPr>
              <w:spacing w:after="0"/>
              <w:rPr>
                <w:sz w:val="1"/>
                <w:szCs w:val="1"/>
                <w:color w:val="auto"/>
              </w:rPr>
            </w:pPr>
          </w:p>
        </w:tc>
      </w:tr>
      <w:tr>
        <w:trPr>
          <w:trHeight w:val="166"/>
        </w:trPr>
        <w:tc>
          <w:tcPr>
            <w:tcW w:w="5280" w:type="dxa"/>
            <w:vAlign w:val="bottom"/>
          </w:tcPr>
          <w:p>
            <w:pPr>
              <w:spacing w:after="0"/>
              <w:rPr>
                <w:sz w:val="14"/>
                <w:szCs w:val="14"/>
                <w:color w:val="auto"/>
              </w:rPr>
            </w:pP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18,615</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3,134</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2,369</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12,785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6,020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following table summarizes annual financial information related to each of the Company’s business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rPr>
              <w:t>2012</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2,196,496</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2,404,459</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787,117</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760,221</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559,655</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601,199</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399,691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319,206</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53,540</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25,507</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rPr>
                <w:sz w:val="20"/>
                <w:szCs w:val="20"/>
                <w:color w:val="auto"/>
              </w:rPr>
            </w:pPr>
            <w:r>
              <w:rPr>
                <w:rFonts w:ascii="Arial" w:cs="Arial" w:eastAsia="Arial" w:hAnsi="Arial"/>
                <w:sz w:val="15"/>
                <w:szCs w:val="15"/>
                <w:color w:val="auto"/>
              </w:rPr>
              <w:t>Intersegment elimination</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(877)</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3,995,622</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4,109,812</w:t>
            </w:r>
          </w:p>
        </w:tc>
        <w:tc>
          <w:tcPr>
            <w:tcW w:w="0" w:type="dxa"/>
            <w:vAlign w:val="bottom"/>
          </w:tcPr>
          <w:p>
            <w:pPr>
              <w:spacing w:after="0"/>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(105,368)</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96,286</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154,581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156,844</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(52,031)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(16,764)</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191,642</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117,089</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(23,244)</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(8,735)</w:t>
            </w: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(19,378)</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(14,422)</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146,202</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330,298</w:t>
            </w:r>
          </w:p>
        </w:tc>
        <w:tc>
          <w:tcPr>
            <w:tcW w:w="0" w:type="dxa"/>
            <w:vAlign w:val="bottom"/>
          </w:tcPr>
          <w:p>
            <w:pPr>
              <w:spacing w:after="0"/>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14,086</w:t>
            </w:r>
          </w:p>
        </w:tc>
        <w:tc>
          <w:tcPr>
            <w:tcW w:w="50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5,949</w:t>
            </w:r>
          </w:p>
        </w:tc>
        <w:tc>
          <w:tcPr>
            <w:tcW w:w="0" w:type="dxa"/>
            <w:vAlign w:val="bottom"/>
          </w:tcPr>
          <w:p>
            <w:pPr>
              <w:spacing w:after="0"/>
              <w:rPr>
                <w:sz w:val="1"/>
                <w:szCs w:val="1"/>
                <w:color w:val="auto"/>
              </w:rPr>
            </w:pPr>
          </w:p>
        </w:tc>
      </w:tr>
      <w:tr>
        <w:trPr>
          <w:trHeight w:val="174"/>
        </w:trPr>
        <w:tc>
          <w:tcPr>
            <w:tcW w:w="802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(32,551)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(29,079)</w:t>
            </w:r>
          </w:p>
        </w:tc>
        <w:tc>
          <w:tcPr>
            <w:tcW w:w="0" w:type="dxa"/>
            <w:vAlign w:val="bottom"/>
          </w:tcPr>
          <w:p>
            <w:pPr>
              <w:spacing w:after="0"/>
              <w:rPr>
                <w:sz w:val="1"/>
                <w:szCs w:val="1"/>
                <w:color w:val="auto"/>
              </w:rPr>
            </w:pPr>
          </w:p>
        </w:tc>
      </w:tr>
      <w:tr>
        <w:trPr>
          <w:trHeight w:val="190"/>
        </w:trPr>
        <w:tc>
          <w:tcPr>
            <w:tcW w:w="8020" w:type="dxa"/>
            <w:vAlign w:val="bottom"/>
          </w:tcPr>
          <w:p>
            <w:pPr>
              <w:spacing w:after="0"/>
              <w:rPr>
                <w:sz w:val="20"/>
                <w:szCs w:val="20"/>
                <w:color w:val="auto"/>
              </w:rPr>
            </w:pPr>
            <w:r>
              <w:rPr>
                <w:rFonts w:ascii="Arial" w:cs="Arial" w:eastAsia="Arial" w:hAnsi="Arial"/>
                <w:sz w:val="15"/>
                <w:szCs w:val="15"/>
                <w:b w:val="1"/>
                <w:bCs w:val="1"/>
                <w:color w:val="auto"/>
              </w:rPr>
              <w:t>Other Expense, Net</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(5,456)</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(55,200)</w:t>
            </w:r>
          </w:p>
        </w:tc>
        <w:tc>
          <w:tcPr>
            <w:tcW w:w="0" w:type="dxa"/>
            <w:vAlign w:val="bottom"/>
          </w:tcPr>
          <w:p>
            <w:pPr>
              <w:spacing w:after="0"/>
              <w:rPr>
                <w:sz w:val="1"/>
                <w:szCs w:val="1"/>
                <w:color w:val="auto"/>
              </w:rPr>
            </w:pPr>
          </w:p>
        </w:tc>
      </w:tr>
      <w:tr>
        <w:trPr>
          <w:trHeight w:val="166"/>
        </w:trPr>
        <w:tc>
          <w:tcPr>
            <w:tcW w:w="8020" w:type="dxa"/>
            <w:vAlign w:val="bottom"/>
          </w:tcPr>
          <w:p>
            <w:pPr>
              <w:spacing w:after="0" w:line="167"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122,281</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251,968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101,183</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83,735</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129,107</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126,302</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23,744</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24,921</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13,018</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12,448</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263</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 and Impairment of Goodwill and Other Long-Lived Assets</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267,315</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247,650</w:t>
            </w:r>
          </w:p>
        </w:tc>
        <w:tc>
          <w:tcPr>
            <w:tcW w:w="0" w:type="dxa"/>
            <w:vAlign w:val="bottom"/>
          </w:tcPr>
          <w:p>
            <w:pPr>
              <w:spacing w:after="0"/>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129,312</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19,417</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211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654</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1,051</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2,418</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Net Pension Expense (Credit)</w:t>
            </w: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132,595</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22,335</w:t>
            </w:r>
          </w:p>
        </w:tc>
        <w:tc>
          <w:tcPr>
            <w:tcW w:w="0" w:type="dxa"/>
            <w:vAlign w:val="bottom"/>
          </w:tcPr>
          <w:p>
            <w:pPr>
              <w:spacing w:after="0"/>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Education</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11,584</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6,345</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Cable television</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2,540</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1,924</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Newspaper publishing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41,351</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22,614</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Television broadcasting</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4,970</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1,669</w:t>
            </w:r>
          </w:p>
        </w:tc>
        <w:tc>
          <w:tcPr>
            <w:tcW w:w="0" w:type="dxa"/>
            <w:vAlign w:val="bottom"/>
          </w:tcPr>
          <w:p>
            <w:pPr>
              <w:spacing w:after="0"/>
              <w:rPr>
                <w:sz w:val="1"/>
                <w:szCs w:val="1"/>
                <w:color w:val="auto"/>
              </w:rPr>
            </w:pPr>
          </w:p>
        </w:tc>
      </w:tr>
      <w:tr>
        <w:trPr>
          <w:trHeight w:val="174"/>
        </w:trPr>
        <w:tc>
          <w:tcPr>
            <w:tcW w:w="8020" w:type="dxa"/>
            <w:vAlign w:val="bottom"/>
          </w:tcPr>
          <w:p>
            <w:pPr>
              <w:ind w:left="340"/>
              <w:spacing w:after="0"/>
              <w:rPr>
                <w:sz w:val="20"/>
                <w:szCs w:val="20"/>
                <w:color w:val="auto"/>
              </w:rPr>
            </w:pPr>
            <w:r>
              <w:rPr>
                <w:rFonts w:ascii="Arial" w:cs="Arial" w:eastAsia="Arial" w:hAnsi="Arial"/>
                <w:sz w:val="15"/>
                <w:szCs w:val="15"/>
                <w:color w:val="auto"/>
              </w:rPr>
              <w:t>Other businesses</w:t>
            </w:r>
          </w:p>
        </w:tc>
        <w:tc>
          <w:tcPr>
            <w:tcW w:w="440" w:type="dxa"/>
            <w:vAlign w:val="bottom"/>
          </w:tcPr>
          <w:p>
            <w:pPr>
              <w:spacing w:after="0"/>
              <w:rPr>
                <w:sz w:val="15"/>
                <w:szCs w:val="15"/>
                <w:color w:val="auto"/>
              </w:rPr>
            </w:pPr>
          </w:p>
        </w:tc>
        <w:tc>
          <w:tcPr>
            <w:tcW w:w="132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rPr>
                <w:sz w:val="20"/>
                <w:szCs w:val="20"/>
                <w:color w:val="auto"/>
              </w:rPr>
            </w:pPr>
            <w:r>
              <w:rPr>
                <w:rFonts w:ascii="Arial" w:cs="Arial" w:eastAsia="Arial" w:hAnsi="Arial"/>
                <w:sz w:val="15"/>
                <w:szCs w:val="15"/>
                <w:color w:val="auto"/>
              </w:rPr>
              <w:t>Corporate office</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(36,197)</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(36,983)</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24,308</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(4,414)</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for the Company’s business segments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As of</w:t>
            </w:r>
          </w:p>
        </w:tc>
        <w:tc>
          <w:tcPr>
            <w:tcW w:w="12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jc w:val="right"/>
              <w:ind w:right="467"/>
              <w:spacing w:after="0" w:line="114" w:lineRule="exact"/>
              <w:rPr>
                <w:sz w:val="20"/>
                <w:szCs w:val="20"/>
                <w:color w:val="auto"/>
              </w:rPr>
            </w:pPr>
            <w:r>
              <w:rPr>
                <w:rFonts w:ascii="Arial" w:cs="Arial" w:eastAsia="Arial" w:hAnsi="Arial"/>
                <w:sz w:val="12"/>
                <w:szCs w:val="12"/>
                <w:b w:val="1"/>
                <w:bCs w:val="1"/>
                <w:color w:val="auto"/>
              </w:rPr>
              <w:t>March 31,</w:t>
            </w:r>
          </w:p>
        </w:tc>
        <w:tc>
          <w:tcPr>
            <w:tcW w:w="520" w:type="dxa"/>
            <w:vAlign w:val="bottom"/>
          </w:tcPr>
          <w:p>
            <w:pPr>
              <w:spacing w:after="0"/>
              <w:rPr>
                <w:sz w:val="9"/>
                <w:szCs w:val="9"/>
                <w:color w:val="auto"/>
              </w:rPr>
            </w:pPr>
          </w:p>
        </w:tc>
        <w:tc>
          <w:tcPr>
            <w:tcW w:w="126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7"/>
              <w:spacing w:after="0"/>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color w:val="auto"/>
              </w:rPr>
              <w:t>2012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4040" w:type="dxa"/>
            <w:vAlign w:val="bottom"/>
            <w:gridSpan w:val="2"/>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1,727,078</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40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520" w:type="dxa"/>
            <w:vAlign w:val="bottom"/>
          </w:tcPr>
          <w:p>
            <w:pPr>
              <w:jc w:val="right"/>
              <w:ind w:right="29"/>
              <w:spacing w:after="0" w:line="156"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56" w:lineRule="exact"/>
              <w:rPr>
                <w:sz w:val="20"/>
                <w:szCs w:val="20"/>
                <w:color w:val="auto"/>
              </w:rPr>
            </w:pPr>
            <w:r>
              <w:rPr>
                <w:rFonts w:ascii="Arial" w:cs="Arial" w:eastAsia="Arial" w:hAnsi="Arial"/>
                <w:sz w:val="15"/>
                <w:szCs w:val="15"/>
                <w:color w:val="auto"/>
              </w:rPr>
              <w:t>1,988,015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1,181,320</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1,187,603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255,574</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280,323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373,532</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374,075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64,215</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81,211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236,388</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193,397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360" w:type="dxa"/>
            <w:vAlign w:val="bottom"/>
            <w:vMerge w:val="restart"/>
          </w:tcPr>
          <w:p>
            <w:pPr>
              <w:spacing w:after="0"/>
              <w:rPr>
                <w:sz w:val="20"/>
                <w:szCs w:val="20"/>
                <w:color w:val="auto"/>
              </w:rPr>
            </w:pPr>
            <w:r>
              <w:rPr>
                <w:rFonts w:ascii="Arial" w:cs="Arial" w:eastAsia="Arial" w:hAnsi="Arial"/>
                <w:sz w:val="15"/>
                <w:szCs w:val="15"/>
                <w:b w:val="1"/>
                <w:bCs w:val="1"/>
                <w:color w:val="auto"/>
              </w:rPr>
              <w:t>Investments in Marketable Equity Securities</w:t>
            </w:r>
          </w:p>
        </w:tc>
        <w:tc>
          <w:tcPr>
            <w:tcW w:w="366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3,838,107</w:t>
            </w:r>
          </w:p>
        </w:tc>
        <w:tc>
          <w:tcPr>
            <w:tcW w:w="520" w:type="dxa"/>
            <w:vAlign w:val="bottom"/>
            <w:tcBorders>
              <w:bottom w:val="single" w:sz="8" w:color="auto"/>
            </w:tcBorders>
          </w:tcPr>
          <w:p>
            <w:pPr>
              <w:jc w:val="right"/>
              <w:ind w:right="29"/>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4,104,624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6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427,101</w:t>
            </w:r>
          </w:p>
        </w:tc>
        <w:tc>
          <w:tcPr>
            <w:tcW w:w="520" w:type="dxa"/>
            <w:vAlign w:val="bottom"/>
          </w:tcPr>
          <w:p>
            <w:pPr>
              <w:spacing w:after="0"/>
              <w:rPr>
                <w:sz w:val="13"/>
                <w:szCs w:val="13"/>
                <w:color w:val="auto"/>
              </w:rPr>
            </w:pPr>
          </w:p>
        </w:tc>
        <w:tc>
          <w:tcPr>
            <w:tcW w:w="1260" w:type="dxa"/>
            <w:vAlign w:val="bottom"/>
          </w:tcPr>
          <w:p>
            <w:pPr>
              <w:jc w:val="right"/>
              <w:spacing w:after="0" w:line="150" w:lineRule="exact"/>
              <w:rPr>
                <w:sz w:val="20"/>
                <w:szCs w:val="20"/>
                <w:color w:val="auto"/>
              </w:rPr>
            </w:pPr>
            <w:r>
              <w:rPr>
                <w:rFonts w:ascii="Arial" w:cs="Arial" w:eastAsia="Arial" w:hAnsi="Arial"/>
                <w:sz w:val="15"/>
                <w:szCs w:val="15"/>
                <w:color w:val="auto"/>
              </w:rPr>
              <w:t>380,087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3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22,068</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15,535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3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589,230</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360" w:type="dxa"/>
            <w:vAlign w:val="bottom"/>
          </w:tcPr>
          <w:p>
            <w:pPr>
              <w:spacing w:after="0" w:line="167" w:lineRule="exact"/>
              <w:rPr>
                <w:sz w:val="20"/>
                <w:szCs w:val="20"/>
                <w:color w:val="auto"/>
              </w:rPr>
            </w:pPr>
            <w:r>
              <w:rPr>
                <w:rFonts w:ascii="Arial" w:cs="Arial" w:eastAsia="Arial" w:hAnsi="Arial"/>
                <w:sz w:val="15"/>
                <w:szCs w:val="15"/>
                <w:b w:val="1"/>
                <w:bCs w:val="1"/>
                <w:color w:val="auto"/>
              </w:rPr>
              <w:t>Total Assets</w:t>
            </w:r>
          </w:p>
        </w:tc>
        <w:tc>
          <w:tcPr>
            <w:tcW w:w="366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4,876,506</w:t>
            </w:r>
          </w:p>
        </w:tc>
        <w:tc>
          <w:tcPr>
            <w:tcW w:w="520" w:type="dxa"/>
            <w:vAlign w:val="bottom"/>
            <w:tcBorders>
              <w:bottom w:val="single" w:sz="8" w:color="auto"/>
            </w:tcBorders>
          </w:tcPr>
          <w:p>
            <w:pPr>
              <w:jc w:val="right"/>
              <w:ind w:right="29"/>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5,105,069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60" w:type="dxa"/>
            <w:vAlign w:val="bottom"/>
            <w:vMerge w:val="restart"/>
          </w:tcPr>
          <w:p>
            <w:pPr>
              <w:jc w:val="right"/>
              <w:ind w:right="2141"/>
              <w:spacing w:after="0"/>
              <w:rPr>
                <w:sz w:val="20"/>
                <w:szCs w:val="20"/>
                <w:color w:val="auto"/>
              </w:rPr>
            </w:pPr>
            <w:r>
              <w:rPr>
                <w:rFonts w:ascii="Arial" w:cs="Arial" w:eastAsia="Arial" w:hAnsi="Arial"/>
                <w:sz w:val="17"/>
                <w:szCs w:val="17"/>
                <w:color w:val="auto"/>
              </w:rPr>
              <w:t>18</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3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36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871" w:right="19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following table summarizes the quarterly financial information related to the operating segments of the Company’s education division: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26"/>
              <w:spacing w:after="0"/>
              <w:rPr>
                <w:sz w:val="20"/>
                <w:szCs w:val="20"/>
                <w:color w:val="auto"/>
              </w:rPr>
            </w:pPr>
            <w:r>
              <w:rPr>
                <w:rFonts w:ascii="Arial" w:cs="Arial" w:eastAsia="Arial" w:hAnsi="Arial"/>
                <w:sz w:val="12"/>
                <w:szCs w:val="12"/>
                <w:b w:val="1"/>
                <w:bCs w:val="1"/>
                <w:color w:val="auto"/>
              </w:rPr>
              <w:t>March 31,</w:t>
            </w:r>
          </w:p>
        </w:tc>
        <w:tc>
          <w:tcPr>
            <w:tcW w:w="220" w:type="dxa"/>
            <w:vAlign w:val="bottom"/>
          </w:tcPr>
          <w:p>
            <w:pPr>
              <w:spacing w:after="0"/>
              <w:rPr>
                <w:sz w:val="12"/>
                <w:szCs w:val="12"/>
                <w:color w:val="auto"/>
              </w:rPr>
            </w:pPr>
          </w:p>
        </w:tc>
        <w:tc>
          <w:tcPr>
            <w:tcW w:w="980" w:type="dxa"/>
            <w:vAlign w:val="bottom"/>
          </w:tcPr>
          <w:p>
            <w:pPr>
              <w:jc w:val="right"/>
              <w:ind w:right="266"/>
              <w:spacing w:after="0"/>
              <w:rPr>
                <w:sz w:val="20"/>
                <w:szCs w:val="20"/>
                <w:color w:val="auto"/>
              </w:rPr>
            </w:pPr>
            <w:r>
              <w:rPr>
                <w:rFonts w:ascii="Arial" w:cs="Arial" w:eastAsia="Arial" w:hAnsi="Arial"/>
                <w:sz w:val="12"/>
                <w:szCs w:val="12"/>
                <w:color w:val="auto"/>
              </w:rPr>
              <w:t>March 31,</w:t>
            </w:r>
          </w:p>
        </w:tc>
        <w:tc>
          <w:tcPr>
            <w:tcW w:w="280" w:type="dxa"/>
            <w:vAlign w:val="bottom"/>
          </w:tcPr>
          <w:p>
            <w:pPr>
              <w:spacing w:after="0"/>
              <w:rPr>
                <w:sz w:val="12"/>
                <w:szCs w:val="12"/>
                <w:color w:val="auto"/>
              </w:rPr>
            </w:pPr>
          </w:p>
        </w:tc>
        <w:tc>
          <w:tcPr>
            <w:tcW w:w="1020" w:type="dxa"/>
            <w:vAlign w:val="bottom"/>
          </w:tcPr>
          <w:p>
            <w:pPr>
              <w:jc w:val="right"/>
              <w:ind w:right="366"/>
              <w:spacing w:after="0"/>
              <w:rPr>
                <w:sz w:val="20"/>
                <w:szCs w:val="20"/>
                <w:color w:val="auto"/>
              </w:rPr>
            </w:pPr>
            <w:r>
              <w:rPr>
                <w:rFonts w:ascii="Arial" w:cs="Arial" w:eastAsia="Arial" w:hAnsi="Arial"/>
                <w:sz w:val="12"/>
                <w:szCs w:val="12"/>
                <w:color w:val="auto"/>
              </w:rPr>
              <w:t>June 30,</w:t>
            </w:r>
          </w:p>
        </w:tc>
        <w:tc>
          <w:tcPr>
            <w:tcW w:w="1300" w:type="dxa"/>
            <w:vAlign w:val="bottom"/>
            <w:gridSpan w:val="2"/>
          </w:tcPr>
          <w:p>
            <w:pPr>
              <w:jc w:val="right"/>
              <w:ind w:right="186"/>
              <w:spacing w:after="0"/>
              <w:rPr>
                <w:sz w:val="20"/>
                <w:szCs w:val="20"/>
                <w:color w:val="auto"/>
              </w:rPr>
            </w:pPr>
            <w:r>
              <w:rPr>
                <w:rFonts w:ascii="Arial" w:cs="Arial" w:eastAsia="Arial" w:hAnsi="Arial"/>
                <w:sz w:val="12"/>
                <w:szCs w:val="12"/>
                <w:color w:val="auto"/>
              </w:rPr>
              <w:t>September 30,</w:t>
            </w:r>
          </w:p>
        </w:tc>
        <w:tc>
          <w:tcPr>
            <w:tcW w:w="20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1"/>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2013</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2012</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color w:val="auto"/>
              </w:rPr>
              <w:t>2012</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2012</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280" w:type="dxa"/>
            <w:vAlign w:val="bottom"/>
            <w:gridSpan w:val="2"/>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271,860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2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line="156" w:lineRule="exact"/>
              <w:rPr>
                <w:sz w:val="20"/>
                <w:szCs w:val="20"/>
                <w:color w:val="auto"/>
              </w:rPr>
            </w:pPr>
            <w:r>
              <w:rPr>
                <w:rFonts w:ascii="Arial" w:cs="Arial" w:eastAsia="Arial" w:hAnsi="Arial"/>
                <w:sz w:val="15"/>
                <w:szCs w:val="15"/>
                <w:color w:val="auto"/>
              </w:rPr>
              <w:t>308,384</w:t>
            </w: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290,861</w:t>
            </w:r>
          </w:p>
        </w:tc>
        <w:tc>
          <w:tcPr>
            <w:tcW w:w="36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273,703</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276,459</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Test preparation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68,943</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62,829</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79,787</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81,151</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60,485</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international</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184,813</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173,563</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179,141</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194,158</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206,928</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corporate and other</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2,604</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3,384</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3,090</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3,809</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4,756</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Intersegment elimination</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(405)</w:t>
            </w:r>
          </w:p>
        </w:tc>
        <w:tc>
          <w:tcPr>
            <w:tcW w:w="2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(1,475)</w:t>
            </w:r>
          </w:p>
        </w:tc>
        <w:tc>
          <w:tcPr>
            <w:tcW w:w="280" w:type="dxa"/>
            <w:vAlign w:val="bottom"/>
          </w:tcPr>
          <w:p>
            <w:pPr>
              <w:spacing w:after="0"/>
              <w:rPr>
                <w:sz w:val="16"/>
                <w:szCs w:val="16"/>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(1,105)</w:t>
            </w:r>
          </w:p>
        </w:tc>
        <w:tc>
          <w:tcPr>
            <w:tcW w:w="360" w:type="dxa"/>
            <w:vAlign w:val="bottom"/>
          </w:tcPr>
          <w:p>
            <w:pPr>
              <w:spacing w:after="0"/>
              <w:rPr>
                <w:sz w:val="16"/>
                <w:szCs w:val="16"/>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(1,125)</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(2,287)</w:t>
            </w:r>
          </w:p>
        </w:tc>
        <w:tc>
          <w:tcPr>
            <w:tcW w:w="0" w:type="dxa"/>
            <w:vAlign w:val="bottom"/>
          </w:tcPr>
          <w:p>
            <w:pPr>
              <w:spacing w:after="0"/>
              <w:rPr>
                <w:sz w:val="1"/>
                <w:szCs w:val="1"/>
                <w:color w:val="auto"/>
              </w:rPr>
            </w:pPr>
          </w:p>
        </w:tc>
      </w:tr>
      <w:tr>
        <w:trPr>
          <w:trHeight w:val="166"/>
        </w:trPr>
        <w:tc>
          <w:tcPr>
            <w:tcW w:w="516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527,815</w:t>
            </w:r>
          </w:p>
        </w:tc>
        <w:tc>
          <w:tcPr>
            <w:tcW w:w="22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546,685</w:t>
            </w:r>
          </w:p>
        </w:tc>
        <w:tc>
          <w:tcPr>
            <w:tcW w:w="28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551,774</w:t>
            </w:r>
          </w:p>
        </w:tc>
        <w:tc>
          <w:tcPr>
            <w:tcW w:w="360" w:type="dxa"/>
            <w:vAlign w:val="bottom"/>
            <w:tcBorders>
              <w:top w:val="single" w:sz="8" w:color="auto"/>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551,696</w:t>
            </w:r>
          </w:p>
        </w:tc>
        <w:tc>
          <w:tcPr>
            <w:tcW w:w="2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546,341</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5,101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2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line="156" w:lineRule="exact"/>
              <w:rPr>
                <w:sz w:val="20"/>
                <w:szCs w:val="20"/>
                <w:color w:val="auto"/>
              </w:rPr>
            </w:pPr>
            <w:r>
              <w:rPr>
                <w:rFonts w:ascii="Arial" w:cs="Arial" w:eastAsia="Arial" w:hAnsi="Arial"/>
                <w:sz w:val="15"/>
                <w:szCs w:val="15"/>
                <w:color w:val="auto"/>
              </w:rPr>
              <w:t>8,959</w:t>
            </w: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5,860</w:t>
            </w:r>
          </w:p>
        </w:tc>
        <w:tc>
          <w:tcPr>
            <w:tcW w:w="36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1,510</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10,916</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Test preparation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(4,345)</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(10,219)</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2,706</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3,446</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(6,732)</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international</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6,397</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4,140</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9,788</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20,365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15,319</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corporate and other</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(11,340)</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(14,989)</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(14,787)</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(10,852)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(131,844)</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Intersegment elimination</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131</w:t>
            </w:r>
          </w:p>
        </w:tc>
        <w:tc>
          <w:tcPr>
            <w:tcW w:w="2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194</w:t>
            </w:r>
          </w:p>
        </w:tc>
        <w:tc>
          <w:tcPr>
            <w:tcW w:w="280" w:type="dxa"/>
            <w:vAlign w:val="bottom"/>
          </w:tcPr>
          <w:p>
            <w:pPr>
              <w:spacing w:after="0"/>
              <w:rPr>
                <w:sz w:val="16"/>
                <w:szCs w:val="16"/>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161</w:t>
            </w:r>
          </w:p>
        </w:tc>
        <w:tc>
          <w:tcPr>
            <w:tcW w:w="360" w:type="dxa"/>
            <w:vAlign w:val="bottom"/>
          </w:tcPr>
          <w:p>
            <w:pPr>
              <w:spacing w:after="0"/>
              <w:rPr>
                <w:sz w:val="16"/>
                <w:szCs w:val="16"/>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224</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467</w:t>
            </w:r>
          </w:p>
        </w:tc>
        <w:tc>
          <w:tcPr>
            <w:tcW w:w="0" w:type="dxa"/>
            <w:vAlign w:val="bottom"/>
          </w:tcPr>
          <w:p>
            <w:pPr>
              <w:spacing w:after="0"/>
              <w:rPr>
                <w:sz w:val="1"/>
                <w:szCs w:val="1"/>
                <w:color w:val="auto"/>
              </w:rPr>
            </w:pPr>
          </w:p>
        </w:tc>
      </w:tr>
      <w:tr>
        <w:trPr>
          <w:trHeight w:val="166"/>
        </w:trPr>
        <w:tc>
          <w:tcPr>
            <w:tcW w:w="516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(4,056)</w:t>
            </w:r>
          </w:p>
        </w:tc>
        <w:tc>
          <w:tcPr>
            <w:tcW w:w="22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(11,915)</w:t>
            </w:r>
          </w:p>
        </w:tc>
        <w:tc>
          <w:tcPr>
            <w:tcW w:w="28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3,728</w:t>
            </w:r>
          </w:p>
        </w:tc>
        <w:tc>
          <w:tcPr>
            <w:tcW w:w="360" w:type="dxa"/>
            <w:vAlign w:val="bottom"/>
            <w:tcBorders>
              <w:top w:val="single" w:sz="8" w:color="auto"/>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14,693</w:t>
            </w:r>
          </w:p>
        </w:tc>
        <w:tc>
          <w:tcPr>
            <w:tcW w:w="2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(111,874)</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13,439</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2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line="156" w:lineRule="exact"/>
              <w:rPr>
                <w:sz w:val="20"/>
                <w:szCs w:val="20"/>
                <w:color w:val="auto"/>
              </w:rPr>
            </w:pPr>
            <w:r>
              <w:rPr>
                <w:rFonts w:ascii="Arial" w:cs="Arial" w:eastAsia="Arial" w:hAnsi="Arial"/>
                <w:sz w:val="15"/>
                <w:szCs w:val="15"/>
                <w:color w:val="auto"/>
              </w:rPr>
              <w:t>11,757</w:t>
            </w: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11,673</w:t>
            </w:r>
          </w:p>
        </w:tc>
        <w:tc>
          <w:tcPr>
            <w:tcW w:w="36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12,168</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22,916</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Test preparation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4,758</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4,315</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4,449</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5,544</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5,410</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international</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3,996</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4,178</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4,471</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3,841</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8,659</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corporate and other</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395</w:t>
            </w:r>
          </w:p>
        </w:tc>
        <w:tc>
          <w:tcPr>
            <w:tcW w:w="2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467</w:t>
            </w:r>
          </w:p>
        </w:tc>
        <w:tc>
          <w:tcPr>
            <w:tcW w:w="280" w:type="dxa"/>
            <w:vAlign w:val="bottom"/>
          </w:tcPr>
          <w:p>
            <w:pPr>
              <w:spacing w:after="0"/>
              <w:rPr>
                <w:sz w:val="16"/>
                <w:szCs w:val="16"/>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418</w:t>
            </w:r>
          </w:p>
        </w:tc>
        <w:tc>
          <w:tcPr>
            <w:tcW w:w="360" w:type="dxa"/>
            <w:vAlign w:val="bottom"/>
          </w:tcPr>
          <w:p>
            <w:pPr>
              <w:spacing w:after="0"/>
              <w:rPr>
                <w:sz w:val="16"/>
                <w:szCs w:val="16"/>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471</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166"/>
        </w:trPr>
        <w:tc>
          <w:tcPr>
            <w:tcW w:w="516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22,588</w:t>
            </w:r>
          </w:p>
        </w:tc>
        <w:tc>
          <w:tcPr>
            <w:tcW w:w="22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20,717</w:t>
            </w:r>
          </w:p>
        </w:tc>
        <w:tc>
          <w:tcPr>
            <w:tcW w:w="28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21,011</w:t>
            </w:r>
          </w:p>
        </w:tc>
        <w:tc>
          <w:tcPr>
            <w:tcW w:w="360" w:type="dxa"/>
            <w:vAlign w:val="bottom"/>
            <w:tcBorders>
              <w:top w:val="single" w:sz="8" w:color="auto"/>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22,024</w:t>
            </w:r>
          </w:p>
        </w:tc>
        <w:tc>
          <w:tcPr>
            <w:tcW w:w="2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37,431</w:t>
            </w: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2,518</w:t>
            </w:r>
          </w:p>
        </w:tc>
        <w:tc>
          <w:tcPr>
            <w:tcW w:w="22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3,236</w:t>
            </w:r>
          </w:p>
        </w:tc>
        <w:tc>
          <w:tcPr>
            <w:tcW w:w="28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3,803</w:t>
            </w:r>
          </w:p>
        </w:tc>
        <w:tc>
          <w:tcPr>
            <w:tcW w:w="360" w:type="dxa"/>
            <w:vAlign w:val="bottom"/>
          </w:tcPr>
          <w:p>
            <w:pPr>
              <w:jc w:val="right"/>
              <w:ind w:right="47"/>
              <w:spacing w:after="0" w:line="150"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line="150" w:lineRule="exact"/>
              <w:rPr>
                <w:sz w:val="20"/>
                <w:szCs w:val="20"/>
                <w:color w:val="auto"/>
              </w:rPr>
            </w:pPr>
            <w:r>
              <w:rPr>
                <w:rFonts w:ascii="Arial" w:cs="Arial" w:eastAsia="Arial" w:hAnsi="Arial"/>
                <w:sz w:val="15"/>
                <w:szCs w:val="15"/>
                <w:color w:val="auto"/>
              </w:rPr>
              <w:t>4,489</w:t>
            </w:r>
          </w:p>
        </w:tc>
        <w:tc>
          <w:tcPr>
            <w:tcW w:w="20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0" w:lineRule="exact"/>
              <w:rPr>
                <w:sz w:val="20"/>
                <w:szCs w:val="20"/>
                <w:color w:val="auto"/>
              </w:rPr>
            </w:pPr>
            <w:r>
              <w:rPr>
                <w:rFonts w:ascii="Arial" w:cs="Arial" w:eastAsia="Arial" w:hAnsi="Arial"/>
                <w:sz w:val="15"/>
                <w:szCs w:val="15"/>
                <w:color w:val="auto"/>
              </w:rPr>
              <w:t>6,191</w:t>
            </w:r>
          </w:p>
        </w:tc>
        <w:tc>
          <w:tcPr>
            <w:tcW w:w="0" w:type="dxa"/>
            <w:vAlign w:val="bottom"/>
          </w:tcPr>
          <w:p>
            <w:pPr>
              <w:spacing w:after="0"/>
              <w:rPr>
                <w:sz w:val="1"/>
                <w:szCs w:val="1"/>
                <w:color w:val="auto"/>
              </w:rPr>
            </w:pPr>
          </w:p>
        </w:tc>
      </w:tr>
      <w:tr>
        <w:trPr>
          <w:trHeight w:val="174"/>
        </w:trPr>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22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111,593</w:t>
            </w:r>
          </w:p>
        </w:tc>
        <w:tc>
          <w:tcPr>
            <w:tcW w:w="0" w:type="dxa"/>
            <w:vAlign w:val="bottom"/>
          </w:tcPr>
          <w:p>
            <w:pPr>
              <w:spacing w:after="0"/>
              <w:rPr>
                <w:sz w:val="1"/>
                <w:szCs w:val="1"/>
                <w:color w:val="auto"/>
              </w:rPr>
            </w:pPr>
          </w:p>
        </w:tc>
      </w:tr>
      <w:tr>
        <w:trPr>
          <w:trHeight w:val="192"/>
        </w:trPr>
        <w:tc>
          <w:tcPr>
            <w:tcW w:w="5280" w:type="dxa"/>
            <w:vAlign w:val="bottom"/>
            <w:gridSpan w:val="2"/>
          </w:tcPr>
          <w:p>
            <w:pPr>
              <w:spacing w:after="0"/>
              <w:rPr>
                <w:sz w:val="20"/>
                <w:szCs w:val="20"/>
                <w:color w:val="auto"/>
              </w:rPr>
            </w:pPr>
            <w:r>
              <w:rPr>
                <w:rFonts w:ascii="Arial" w:cs="Arial" w:eastAsia="Arial" w:hAnsi="Arial"/>
                <w:sz w:val="15"/>
                <w:szCs w:val="15"/>
                <w:b w:val="1"/>
                <w:bCs w:val="1"/>
                <w:color w:val="auto"/>
              </w:rPr>
              <w:t>Pension Expense</w:t>
            </w:r>
          </w:p>
        </w:tc>
        <w:tc>
          <w:tcPr>
            <w:tcW w:w="22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2,807</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2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line="156" w:lineRule="exact"/>
              <w:rPr>
                <w:sz w:val="20"/>
                <w:szCs w:val="20"/>
                <w:color w:val="auto"/>
              </w:rPr>
            </w:pPr>
            <w:r>
              <w:rPr>
                <w:rFonts w:ascii="Arial" w:cs="Arial" w:eastAsia="Arial" w:hAnsi="Arial"/>
                <w:sz w:val="15"/>
                <w:szCs w:val="15"/>
                <w:color w:val="auto"/>
              </w:rPr>
              <w:t>1,587</w:t>
            </w:r>
          </w:p>
        </w:tc>
        <w:tc>
          <w:tcPr>
            <w:tcW w:w="28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1,587</w:t>
            </w:r>
          </w:p>
        </w:tc>
        <w:tc>
          <w:tcPr>
            <w:tcW w:w="360" w:type="dxa"/>
            <w:vAlign w:val="bottom"/>
          </w:tcPr>
          <w:p>
            <w:pPr>
              <w:jc w:val="right"/>
              <w:ind w:right="47"/>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line="156" w:lineRule="exact"/>
              <w:rPr>
                <w:sz w:val="20"/>
                <w:szCs w:val="20"/>
                <w:color w:val="auto"/>
              </w:rPr>
            </w:pPr>
            <w:r>
              <w:rPr>
                <w:rFonts w:ascii="Arial" w:cs="Arial" w:eastAsia="Arial" w:hAnsi="Arial"/>
                <w:sz w:val="15"/>
                <w:szCs w:val="15"/>
                <w:color w:val="auto"/>
              </w:rPr>
              <w:t>2,234</w:t>
            </w:r>
          </w:p>
        </w:tc>
        <w:tc>
          <w:tcPr>
            <w:tcW w:w="2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2,535</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Test preparation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640</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413</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414</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554</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174"/>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international</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87</w:t>
            </w:r>
          </w:p>
        </w:tc>
        <w:tc>
          <w:tcPr>
            <w:tcW w:w="22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112</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40"/>
              <w:spacing w:after="0"/>
              <w:rPr>
                <w:sz w:val="20"/>
                <w:szCs w:val="20"/>
                <w:color w:val="auto"/>
              </w:rPr>
            </w:pPr>
            <w:r>
              <w:rPr>
                <w:rFonts w:ascii="Arial" w:cs="Arial" w:eastAsia="Arial" w:hAnsi="Arial"/>
                <w:sz w:val="15"/>
                <w:szCs w:val="15"/>
                <w:color w:val="auto"/>
              </w:rPr>
              <w:t>Kaplan corporate and other</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572</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380</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622</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166"/>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4,106</w:t>
            </w:r>
          </w:p>
        </w:tc>
        <w:tc>
          <w:tcPr>
            <w:tcW w:w="2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2,392</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1,969</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3,522</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3,701</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following table summarizes annual financial information related to the reportable segments of the Company’s education division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47"/>
              <w:spacing w:after="0"/>
              <w:rPr>
                <w:sz w:val="20"/>
                <w:szCs w:val="20"/>
                <w:color w:val="auto"/>
              </w:rPr>
            </w:pPr>
            <w:r>
              <w:rPr>
                <w:rFonts w:ascii="Arial" w:cs="Arial" w:eastAsia="Arial" w:hAnsi="Arial"/>
                <w:sz w:val="12"/>
                <w:szCs w:val="12"/>
                <w:color w:val="auto"/>
              </w:rPr>
              <w:t>2012</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color w:val="auto"/>
              </w:rPr>
              <w:t>2011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1,149,407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1,399,583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284,252</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303,093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753,790</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690,226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15,039</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18,940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(5,992)</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48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line="167" w:lineRule="exact"/>
              <w:rPr>
                <w:sz w:val="20"/>
                <w:szCs w:val="20"/>
                <w:color w:val="auto"/>
              </w:rPr>
            </w:pPr>
            <w:r>
              <w:rPr>
                <w:rFonts w:ascii="Arial" w:cs="Arial" w:eastAsia="Arial" w:hAnsi="Arial"/>
                <w:sz w:val="15"/>
                <w:szCs w:val="15"/>
                <w:color w:val="auto"/>
              </w:rPr>
              <w:t>2,196,496</w:t>
            </w:r>
          </w:p>
        </w:tc>
        <w:tc>
          <w:tcPr>
            <w:tcW w:w="2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7" w:lineRule="exact"/>
              <w:rPr>
                <w:sz w:val="20"/>
                <w:szCs w:val="20"/>
                <w:color w:val="auto"/>
              </w:rPr>
            </w:pPr>
            <w:r>
              <w:rPr>
                <w:rFonts w:ascii="Arial" w:cs="Arial" w:eastAsia="Arial" w:hAnsi="Arial"/>
                <w:sz w:val="15"/>
                <w:szCs w:val="15"/>
                <w:color w:val="auto"/>
              </w:rPr>
              <w:t>2,404,459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27,245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148,915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(10,799)</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49,612</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(172,472)</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(69,509)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1,046</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48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line="167" w:lineRule="exact"/>
              <w:rPr>
                <w:sz w:val="20"/>
                <w:szCs w:val="20"/>
                <w:color w:val="auto"/>
              </w:rPr>
            </w:pPr>
            <w:r>
              <w:rPr>
                <w:rFonts w:ascii="Arial" w:cs="Arial" w:eastAsia="Arial" w:hAnsi="Arial"/>
                <w:sz w:val="15"/>
                <w:szCs w:val="15"/>
                <w:color w:val="auto"/>
              </w:rPr>
              <w:t>(105,368)</w:t>
            </w:r>
          </w:p>
        </w:tc>
        <w:tc>
          <w:tcPr>
            <w:tcW w:w="2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7" w:lineRule="exact"/>
              <w:rPr>
                <w:sz w:val="20"/>
                <w:szCs w:val="20"/>
                <w:color w:val="auto"/>
              </w:rPr>
            </w:pPr>
            <w:r>
              <w:rPr>
                <w:rFonts w:ascii="Arial" w:cs="Arial" w:eastAsia="Arial" w:hAnsi="Arial"/>
                <w:sz w:val="15"/>
                <w:szCs w:val="15"/>
                <w:color w:val="auto"/>
              </w:rPr>
              <w:t>96,286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58,514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48,379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19,718</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15,489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21,149</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16,746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1,802</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187"/>
              <w:spacing w:after="0" w:line="167" w:lineRule="exact"/>
              <w:rPr>
                <w:sz w:val="20"/>
                <w:szCs w:val="20"/>
                <w:color w:val="auto"/>
              </w:rPr>
            </w:pPr>
            <w:r>
              <w:rPr>
                <w:rFonts w:ascii="Arial" w:cs="Arial" w:eastAsia="Arial" w:hAnsi="Arial"/>
                <w:sz w:val="15"/>
                <w:szCs w:val="15"/>
                <w:color w:val="auto"/>
              </w:rPr>
              <w:t>101,183</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83,735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48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line="150" w:lineRule="exact"/>
              <w:rPr>
                <w:sz w:val="20"/>
                <w:szCs w:val="20"/>
                <w:color w:val="auto"/>
              </w:rPr>
            </w:pPr>
            <w:r>
              <w:rPr>
                <w:rFonts w:ascii="Arial" w:cs="Arial" w:eastAsia="Arial" w:hAnsi="Arial"/>
                <w:sz w:val="15"/>
                <w:szCs w:val="15"/>
                <w:color w:val="auto"/>
              </w:rPr>
              <w:t>17,719</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50" w:lineRule="exact"/>
              <w:rPr>
                <w:sz w:val="20"/>
                <w:szCs w:val="20"/>
                <w:color w:val="auto"/>
              </w:rPr>
            </w:pPr>
            <w:r>
              <w:rPr>
                <w:rFonts w:ascii="Arial" w:cs="Arial" w:eastAsia="Arial" w:hAnsi="Arial"/>
                <w:sz w:val="15"/>
                <w:szCs w:val="15"/>
                <w:color w:val="auto"/>
              </w:rPr>
              <w:t>19,417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20" w:type="dxa"/>
            <w:vAlign w:val="bottom"/>
          </w:tcPr>
          <w:p>
            <w:pPr>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111,593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20" w:type="dxa"/>
            <w:vAlign w:val="bottom"/>
          </w:tcPr>
          <w:p>
            <w:pPr>
              <w:spacing w:after="0"/>
              <w:rPr>
                <w:sz w:val="20"/>
                <w:szCs w:val="20"/>
                <w:color w:val="auto"/>
              </w:rPr>
            </w:pPr>
            <w:r>
              <w:rPr>
                <w:rFonts w:ascii="Arial" w:cs="Arial" w:eastAsia="Arial" w:hAnsi="Arial"/>
                <w:sz w:val="15"/>
                <w:szCs w:val="15"/>
                <w:b w:val="1"/>
                <w:bCs w:val="1"/>
                <w:color w:val="auto"/>
              </w:rPr>
              <w:t>Pension Expense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7,943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2,007</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189</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1,445</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48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187"/>
              <w:spacing w:after="0" w:line="167" w:lineRule="exact"/>
              <w:rPr>
                <w:sz w:val="20"/>
                <w:szCs w:val="20"/>
                <w:color w:val="auto"/>
              </w:rPr>
            </w:pPr>
            <w:r>
              <w:rPr>
                <w:rFonts w:ascii="Arial" w:cs="Arial" w:eastAsia="Arial" w:hAnsi="Arial"/>
                <w:sz w:val="15"/>
                <w:szCs w:val="15"/>
                <w:color w:val="auto"/>
              </w:rPr>
              <w:t>11,584</w:t>
            </w:r>
          </w:p>
        </w:tc>
        <w:tc>
          <w:tcPr>
            <w:tcW w:w="2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7" w:lineRule="exact"/>
              <w:rPr>
                <w:sz w:val="20"/>
                <w:szCs w:val="20"/>
                <w:color w:val="auto"/>
              </w:rPr>
            </w:pPr>
            <w:r>
              <w:rPr>
                <w:rFonts w:ascii="Arial" w:cs="Arial" w:eastAsia="Arial" w:hAnsi="Arial"/>
                <w:sz w:val="15"/>
                <w:szCs w:val="15"/>
                <w:color w:val="auto"/>
              </w:rPr>
              <w:t>6,345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8020" w:type="dxa"/>
            <w:vAlign w:val="bottom"/>
          </w:tcPr>
          <w:p>
            <w:pPr>
              <w:spacing w:after="0"/>
              <w:rPr>
                <w:sz w:val="20"/>
                <w:szCs w:val="20"/>
                <w:color w:val="auto"/>
              </w:rPr>
            </w:pPr>
            <w:r>
              <w:rPr>
                <w:rFonts w:ascii="Arial" w:cs="Arial" w:eastAsia="Arial" w:hAnsi="Arial"/>
                <w:sz w:val="17"/>
                <w:szCs w:val="17"/>
                <w:color w:val="auto"/>
              </w:rPr>
              <w:t>Identifiable assets for the Company’s education division consist of the following:</w:t>
            </w: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jc w:val="right"/>
              <w:ind w:right="767"/>
              <w:spacing w:after="0" w:line="114" w:lineRule="exact"/>
              <w:rPr>
                <w:sz w:val="20"/>
                <w:szCs w:val="20"/>
                <w:color w:val="auto"/>
              </w:rPr>
            </w:pPr>
            <w:r>
              <w:rPr>
                <w:rFonts w:ascii="Arial" w:cs="Arial" w:eastAsia="Arial" w:hAnsi="Arial"/>
                <w:sz w:val="12"/>
                <w:szCs w:val="12"/>
                <w:b w:val="1"/>
                <w:bCs w:val="1"/>
                <w:color w:val="auto"/>
              </w:rPr>
              <w:t>March 31,</w:t>
            </w:r>
          </w:p>
        </w:tc>
        <w:tc>
          <w:tcPr>
            <w:tcW w:w="280" w:type="dxa"/>
            <w:vAlign w:val="bottom"/>
          </w:tcPr>
          <w:p>
            <w:pPr>
              <w:spacing w:after="0"/>
              <w:rPr>
                <w:sz w:val="9"/>
                <w:szCs w:val="9"/>
                <w:color w:val="auto"/>
              </w:rPr>
            </w:pPr>
          </w:p>
        </w:tc>
        <w:tc>
          <w:tcPr>
            <w:tcW w:w="120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27"/>
              <w:spacing w:after="0"/>
              <w:rPr>
                <w:sz w:val="20"/>
                <w:szCs w:val="20"/>
                <w:color w:val="auto"/>
              </w:rPr>
            </w:pPr>
            <w:r>
              <w:rPr>
                <w:rFonts w:ascii="Arial" w:cs="Arial" w:eastAsia="Arial" w:hAnsi="Arial"/>
                <w:sz w:val="12"/>
                <w:szCs w:val="12"/>
                <w:b w:val="1"/>
                <w:bCs w:val="1"/>
                <w:color w:val="auto"/>
              </w:rPr>
              <w:t>2013</w:t>
            </w: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color w:val="auto"/>
              </w:rPr>
              <w:t>2012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1440" w:type="dxa"/>
            <w:vAlign w:val="bottom"/>
            <w:vMerge w:val="restart"/>
          </w:tcPr>
          <w:p>
            <w:pPr>
              <w:jc w:val="right"/>
              <w:ind w:right="287"/>
              <w:spacing w:after="0"/>
              <w:rPr>
                <w:sz w:val="20"/>
                <w:szCs w:val="20"/>
                <w:color w:val="auto"/>
              </w:rPr>
            </w:pPr>
            <w:r>
              <w:rPr>
                <w:rFonts w:ascii="Arial" w:cs="Arial" w:eastAsia="Arial" w:hAnsi="Arial"/>
                <w:sz w:val="15"/>
                <w:szCs w:val="15"/>
                <w:b w:val="1"/>
                <w:bCs w:val="1"/>
                <w:color w:val="auto"/>
              </w:rPr>
              <w:t>650,375</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56" w:lineRule="exact"/>
              <w:rPr>
                <w:sz w:val="20"/>
                <w:szCs w:val="20"/>
                <w:color w:val="auto"/>
              </w:rPr>
            </w:pPr>
            <w:r>
              <w:rPr>
                <w:rFonts w:ascii="Arial" w:cs="Arial" w:eastAsia="Arial" w:hAnsi="Arial"/>
                <w:sz w:val="15"/>
                <w:szCs w:val="15"/>
                <w:color w:val="auto"/>
              </w:rPr>
              <w:t>949,260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287"/>
              <w:spacing w:after="0"/>
              <w:rPr>
                <w:sz w:val="20"/>
                <w:szCs w:val="20"/>
                <w:color w:val="auto"/>
              </w:rPr>
            </w:pPr>
            <w:r>
              <w:rPr>
                <w:rFonts w:ascii="Arial" w:cs="Arial" w:eastAsia="Arial" w:hAnsi="Arial"/>
                <w:sz w:val="15"/>
                <w:szCs w:val="15"/>
                <w:b w:val="1"/>
                <w:bCs w:val="1"/>
                <w:color w:val="auto"/>
              </w:rPr>
              <w:t>198,639</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197,672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287"/>
              <w:spacing w:after="0"/>
              <w:rPr>
                <w:sz w:val="20"/>
                <w:szCs w:val="20"/>
                <w:color w:val="auto"/>
              </w:rPr>
            </w:pPr>
            <w:r>
              <w:rPr>
                <w:rFonts w:ascii="Arial" w:cs="Arial" w:eastAsia="Arial" w:hAnsi="Arial"/>
                <w:sz w:val="15"/>
                <w:szCs w:val="15"/>
                <w:b w:val="1"/>
                <w:bCs w:val="1"/>
                <w:color w:val="auto"/>
              </w:rPr>
              <w:t>840,187</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818,613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37,877</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87"/>
              <w:spacing w:after="0" w:line="167" w:lineRule="exact"/>
              <w:rPr>
                <w:sz w:val="20"/>
                <w:szCs w:val="20"/>
                <w:color w:val="auto"/>
              </w:rPr>
            </w:pPr>
            <w:r>
              <w:rPr>
                <w:rFonts w:ascii="Arial" w:cs="Arial" w:eastAsia="Arial" w:hAnsi="Arial"/>
                <w:sz w:val="15"/>
                <w:szCs w:val="15"/>
                <w:b w:val="1"/>
                <w:bCs w:val="1"/>
                <w:color w:val="auto"/>
              </w:rPr>
              <w:t>1,727,078</w:t>
            </w:r>
          </w:p>
        </w:tc>
        <w:tc>
          <w:tcPr>
            <w:tcW w:w="2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1,988,015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8020" w:type="dxa"/>
            <w:vAlign w:val="bottom"/>
          </w:tcPr>
          <w:p>
            <w:pPr>
              <w:ind w:left="5620"/>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871" w:right="199" w:bottom="1440" w:gutter="0" w:footer="0" w:header="0"/>
        </w:sectPr>
      </w:pPr>
    </w:p>
    <w:bookmarkStart w:id="23" w:name="page24"/>
    <w:bookmarkEnd w:id="23"/>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This analysis should be read in conjunction with the condensed consolidated financial statements and the notes thereto.</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reported net income attributable to common shares of $4.7 million ($ 0.64 per share) for the first quarter ended March 31, 2013, compared to $31.0 million ($4.07 per share) for the first quarter of last year. Net income includes $1.4 million in losses ($0.18 per share) and $17.6 million in income ($2.35 per share) from discontinued operations for the first quarter of 2013 and 2012, respectively. Income from continuing operations attributable to common shares was $6.1 million ($0.82 per share) for the first quarter of 2013, compared to $13.5 million ($1.72 per share) for the first quarter of 2012. As a result of the Company’s share repurchases, there were 5% fewer diluted average shares outstanding in the first quarter of 2013.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2013:</w:t>
      </w:r>
    </w:p>
    <w:p>
      <w:pPr>
        <w:spacing w:after="0" w:line="127" w:lineRule="exact"/>
        <w:rPr>
          <w:sz w:val="20"/>
          <w:szCs w:val="20"/>
          <w:color w:val="auto"/>
        </w:rPr>
      </w:pPr>
    </w:p>
    <w:p>
      <w:pPr>
        <w:ind w:left="300" w:right="320" w:hanging="146"/>
        <w:spacing w:after="0" w:line="246" w:lineRule="auto"/>
        <w:tabs>
          <w:tab w:leader="none" w:pos="257" w:val="left"/>
        </w:tabs>
        <w:numPr>
          <w:ilvl w:val="0"/>
          <w:numId w:val="9"/>
        </w:numPr>
        <w:rPr>
          <w:rFonts w:ascii="Arial" w:cs="Arial" w:eastAsia="Arial" w:hAnsi="Arial"/>
          <w:sz w:val="17"/>
          <w:szCs w:val="17"/>
          <w:color w:val="auto"/>
        </w:rPr>
      </w:pPr>
      <w:r>
        <w:rPr>
          <w:rFonts w:ascii="Arial" w:cs="Arial" w:eastAsia="Arial" w:hAnsi="Arial"/>
          <w:sz w:val="17"/>
          <w:szCs w:val="17"/>
          <w:color w:val="auto"/>
        </w:rPr>
        <w:t>$25.3 million in early retirement, severance and restructuring charges at the newspaper publishing and education divisions (after-tax impact of $16.2 million, or $2.23 per share); and</w:t>
      </w:r>
    </w:p>
    <w:p>
      <w:pPr>
        <w:spacing w:after="0" w:line="120" w:lineRule="exact"/>
        <w:rPr>
          <w:rFonts w:ascii="Arial" w:cs="Arial" w:eastAsia="Arial" w:hAnsi="Arial"/>
          <w:sz w:val="17"/>
          <w:szCs w:val="17"/>
          <w:color w:val="auto"/>
        </w:rPr>
      </w:pPr>
    </w:p>
    <w:p>
      <w:pPr>
        <w:ind w:left="260" w:hanging="11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$4.6 million in non-operating unrealized foreign currency losses (after-tax impact of $3.0 million, or $0.41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quarter of 2012:</w:t>
      </w:r>
    </w:p>
    <w:p>
      <w:pPr>
        <w:spacing w:after="0" w:line="115" w:lineRule="exact"/>
        <w:rPr>
          <w:sz w:val="20"/>
          <w:szCs w:val="20"/>
          <w:color w:val="auto"/>
        </w:rPr>
      </w:pPr>
    </w:p>
    <w:p>
      <w:pPr>
        <w:ind w:left="260" w:hanging="106"/>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$1.9 million in severance and early retirement charges at the newspaper publishing division (after-tax impact of $1.2 million, or $0.16 per share);</w:t>
      </w:r>
    </w:p>
    <w:p>
      <w:pPr>
        <w:spacing w:after="0" w:line="139" w:lineRule="exact"/>
        <w:rPr>
          <w:rFonts w:ascii="Arial" w:cs="Arial" w:eastAsia="Arial" w:hAnsi="Arial"/>
          <w:sz w:val="17"/>
          <w:szCs w:val="17"/>
          <w:color w:val="auto"/>
        </w:rPr>
      </w:pPr>
    </w:p>
    <w:p>
      <w:pPr>
        <w:ind w:left="260" w:hanging="106"/>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139" w:lineRule="exact"/>
        <w:rPr>
          <w:rFonts w:ascii="Arial" w:cs="Arial" w:eastAsia="Arial" w:hAnsi="Arial"/>
          <w:sz w:val="17"/>
          <w:szCs w:val="17"/>
          <w:color w:val="auto"/>
        </w:rPr>
      </w:pPr>
    </w:p>
    <w:p>
      <w:pPr>
        <w:ind w:left="260" w:hanging="106"/>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$2.7 million in non-operating unrealized foreign currency gains (after-tax impact of $1.7 million, or $0.22 per share).</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Revenue for the first quarter of 2013 was $959.1 million, up slightly compared to $ 955.5 million in the first quarter of 2012. The Company reported operating income of $23.1 million in the first quarter of 2013, compared to operating income of $21.3 million in the first quarter of 2012. Revenues increased at the television broadcasting and cable television divisions, offset by declines at the education and newspaper publishing divisions. Operating results improved at the education, television broadcasting and cable television divisions, offset by a decline at the newspaper publishing division.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Education division revenue totaled $527.8 million for the first quarter of 2013, a 3% decline from revenue of $546.7 million for the first quarter of 2012.</w:t>
      </w:r>
    </w:p>
    <w:p>
      <w:pPr>
        <w:spacing w:after="0"/>
        <w:rPr>
          <w:sz w:val="20"/>
          <w:szCs w:val="20"/>
          <w:color w:val="auto"/>
        </w:rPr>
      </w:pPr>
      <w:r>
        <w:rPr>
          <w:rFonts w:ascii="Arial" w:cs="Arial" w:eastAsia="Arial" w:hAnsi="Arial"/>
          <w:sz w:val="17"/>
          <w:szCs w:val="17"/>
          <w:color w:val="auto"/>
        </w:rPr>
        <w:t>Kaplan reported a first quarter 2013 operating loss of $4.1 million, compared to an $11.9 million operating loss in the first quarter of 2012.</w:t>
      </w:r>
    </w:p>
    <w:p>
      <w:pPr>
        <w:spacing w:after="0" w:line="177"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In response to student demand levels, Kaplan has formulated and implemented restructuring plans at its various businesses, with the objective of establishing lower cost levels in future periods. Across all businesses, restructuring costs totaled $9.5 million in the first quarter of 2013. Kaplan currently expects to incur approximately $15 million in additional restructuring costs for the remainder of 2013 at KHE and Kaplan International in conjunction with completing these restructuring plans. Kaplan may also incur additional restructuring charges in 2013 as Kaplan continues to evaluate its cost 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A summary of Kaplan’s first quarter 2013 operating results compared to 2012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4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4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48"/>
              <w:spacing w:after="0" w:line="129"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line="129" w:lineRule="exact"/>
              <w:rPr>
                <w:sz w:val="20"/>
                <w:szCs w:val="20"/>
                <w:color w:val="auto"/>
              </w:rPr>
            </w:pPr>
            <w:r>
              <w:rPr>
                <w:rFonts w:ascii="Arial" w:cs="Arial" w:eastAsia="Arial" w:hAnsi="Arial"/>
                <w:sz w:val="12"/>
                <w:szCs w:val="12"/>
                <w:color w:val="auto"/>
                <w:w w:val="97"/>
              </w:rPr>
              <w:t>2012</w:t>
            </w:r>
          </w:p>
        </w:tc>
        <w:tc>
          <w:tcPr>
            <w:tcW w:w="100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2"/>
                <w:szCs w:val="12"/>
                <w:color w:val="auto"/>
              </w:rPr>
              <w:t>% Change</w:t>
            </w:r>
          </w:p>
        </w:tc>
        <w:tc>
          <w:tcPr>
            <w:tcW w:w="0" w:type="dxa"/>
            <w:vAlign w:val="bottom"/>
          </w:tcPr>
          <w:p>
            <w:pPr>
              <w:spacing w:after="0"/>
              <w:rPr>
                <w:sz w:val="1"/>
                <w:szCs w:val="1"/>
                <w:color w:val="auto"/>
              </w:rPr>
            </w:pPr>
          </w:p>
        </w:tc>
      </w:tr>
      <w:tr>
        <w:trPr>
          <w:trHeight w:val="168"/>
        </w:trPr>
        <w:tc>
          <w:tcPr>
            <w:tcW w:w="746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271,860</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308,384</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68,943</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62,829</w:t>
            </w: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184,813</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173,563</w:t>
            </w:r>
          </w:p>
        </w:tc>
        <w:tc>
          <w:tcPr>
            <w:tcW w:w="10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Kaplan corporate</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2,604</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3,384</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(405)</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14"/>
                <w:szCs w:val="14"/>
                <w:color w:val="auto"/>
              </w:rPr>
            </w:pP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527,815</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546,685</w:t>
            </w:r>
          </w:p>
        </w:tc>
        <w:tc>
          <w:tcPr>
            <w:tcW w:w="1000" w:type="dxa"/>
            <w:vAlign w:val="bottom"/>
          </w:tcPr>
          <w:p>
            <w:pPr>
              <w:jc w:val="right"/>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60" w:type="dxa"/>
            <w:vAlign w:val="bottom"/>
            <w:vMerge w:val="continue"/>
          </w:tcPr>
          <w:p>
            <w:pPr>
              <w:spacing w:after="0"/>
              <w:rPr>
                <w:sz w:val="13"/>
                <w:szCs w:val="13"/>
                <w:color w:val="auto"/>
              </w:rPr>
            </w:pPr>
          </w:p>
        </w:tc>
        <w:tc>
          <w:tcPr>
            <w:tcW w:w="38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128"/>
              <w:spacing w:after="0"/>
              <w:rPr>
                <w:sz w:val="20"/>
                <w:szCs w:val="20"/>
                <w:color w:val="auto"/>
              </w:rPr>
            </w:pPr>
            <w:r>
              <w:rPr>
                <w:rFonts w:ascii="Arial" w:cs="Arial" w:eastAsia="Arial" w:hAnsi="Arial"/>
                <w:sz w:val="15"/>
                <w:szCs w:val="15"/>
                <w:b w:val="1"/>
                <w:bCs w:val="1"/>
                <w:color w:val="auto"/>
              </w:rPr>
              <w:t>5,101</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6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8,959</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(4,345)</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(10,219)</w:t>
            </w:r>
          </w:p>
        </w:tc>
        <w:tc>
          <w:tcPr>
            <w:tcW w:w="100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6,397</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4,140</w:t>
            </w:r>
          </w:p>
        </w:tc>
        <w:tc>
          <w:tcPr>
            <w:tcW w:w="10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4"/>
        </w:trPr>
        <w:tc>
          <w:tcPr>
            <w:tcW w:w="746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38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5"/>
                <w:szCs w:val="15"/>
                <w:b w:val="1"/>
                <w:bCs w:val="1"/>
                <w:color w:val="auto"/>
              </w:rPr>
              <w:t>(11,340)</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(14,989)</w:t>
            </w:r>
          </w:p>
        </w:tc>
        <w:tc>
          <w:tcPr>
            <w:tcW w:w="100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0"/>
        </w:trPr>
        <w:tc>
          <w:tcPr>
            <w:tcW w:w="746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131</w:t>
            </w: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14"/>
                <w:szCs w:val="14"/>
                <w:color w:val="auto"/>
              </w:rPr>
            </w:pP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(4,056)</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(11,915)</w:t>
            </w:r>
          </w:p>
        </w:tc>
        <w:tc>
          <w:tcPr>
            <w:tcW w:w="1000" w:type="dxa"/>
            <w:vAlign w:val="bottom"/>
          </w:tcPr>
          <w:p>
            <w:pPr>
              <w:jc w:val="right"/>
              <w:spacing w:after="0" w:line="167"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000"/>
        <w:spacing w:after="0" w:line="260"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60"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In September 2012, KHE announced a plan to consolidate its market presence at certain of its fixed-facility campuses. Under this plan, KHE ceased new enrollments at nine ground campuses as it considered alternatives for these locations, and is in the process of consolidating operations of four other campuses into existing, nearby locations. Revenues at these campuses represented approximately 4% of KHE’s total revenues in 2012. In the fourth quarter of 2012, KHE also began implementing plans to consolidate facilities and reduce its workforce. In connection with these and other plans, KHE incurred $ 9.1 million in total restructuring costs in the first quarter of 2013, including accelerated depreciation ($3.6 million), severance ($0.9 million), lease obligation losses ($3.7 million) and other items ($0.9 million). In the first quarter of 2013, five of the KHE campuses were closed.</w:t>
      </w:r>
    </w:p>
    <w:p>
      <w:pPr>
        <w:spacing w:after="0" w:line="179"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In the first quarter of 2013, KHE revenue declined 12% due to a decline in average enrollments, reflecting weaker market demand over the past year and the impact of campuses in the process of closing. These declines were partially offset by a revenue increase arising from changes in the trial period offered to new students in 2013. These changes had the effect, among others, of recognizing revenue of $5.6 million in the first quarter of 2013 that otherwise would have been recognized in the second quarter of 2013.</w:t>
      </w:r>
    </w:p>
    <w:p>
      <w:pPr>
        <w:spacing w:after="0" w:line="175" w:lineRule="exact"/>
        <w:rPr>
          <w:sz w:val="20"/>
          <w:szCs w:val="20"/>
          <w:color w:val="auto"/>
        </w:rPr>
      </w:pPr>
    </w:p>
    <w:p>
      <w:pPr>
        <w:ind w:right="580"/>
        <w:spacing w:after="0" w:line="235" w:lineRule="auto"/>
        <w:rPr>
          <w:sz w:val="20"/>
          <w:szCs w:val="20"/>
          <w:color w:val="auto"/>
        </w:rPr>
      </w:pPr>
      <w:r>
        <w:rPr>
          <w:rFonts w:ascii="Arial" w:cs="Arial" w:eastAsia="Arial" w:hAnsi="Arial"/>
          <w:sz w:val="17"/>
          <w:szCs w:val="17"/>
          <w:color w:val="auto"/>
        </w:rPr>
        <w:t>Operating income decreased 43% due primarily to lower revenue and restructuring costs noted above. Partially offsetting the declines were expense reductions associated with lower enrollments and recent restructuring efforts.</w:t>
      </w:r>
    </w:p>
    <w:p>
      <w:pPr>
        <w:spacing w:after="0" w:line="176"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New student enrollments at KHE decreased 9% in the first quarter of 2013. New student enrollments were adversely affected by campuses planned for closure that are no longer recruiting students, but were positively impacted by the changes in the trial period offered to new students.</w:t>
      </w:r>
    </w:p>
    <w:p>
      <w:pPr>
        <w:spacing w:after="0" w:line="176"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Total students at March 31, 2013 were down 12% compared to March 31, 2012, and increased 3% compared to December 31, 2012. Excluding campuses planned for closure, total students at March 31, 2013 were down 8% compared to March 31, 2012, and increased 4% compared to December 31, 2012. A summary of student enrollments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Students as of</w:t>
            </w:r>
          </w:p>
        </w:tc>
        <w:tc>
          <w:tcPr>
            <w:tcW w:w="120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11"/>
              <w:spacing w:after="0" w:line="114" w:lineRule="exact"/>
              <w:rPr>
                <w:sz w:val="20"/>
                <w:szCs w:val="20"/>
                <w:color w:val="auto"/>
              </w:rPr>
            </w:pPr>
            <w:r>
              <w:rPr>
                <w:rFonts w:ascii="Arial" w:cs="Arial" w:eastAsia="Arial" w:hAnsi="Arial"/>
                <w:sz w:val="12"/>
                <w:szCs w:val="12"/>
                <w:b w:val="1"/>
                <w:bCs w:val="1"/>
                <w:color w:val="auto"/>
              </w:rPr>
              <w:t>March 31,</w:t>
            </w:r>
          </w:p>
        </w:tc>
        <w:tc>
          <w:tcPr>
            <w:tcW w:w="1560" w:type="dxa"/>
            <w:vAlign w:val="bottom"/>
          </w:tcPr>
          <w:p>
            <w:pPr>
              <w:jc w:val="center"/>
              <w:ind w:right="152"/>
              <w:spacing w:after="0" w:line="114" w:lineRule="exact"/>
              <w:rPr>
                <w:sz w:val="20"/>
                <w:szCs w:val="20"/>
                <w:color w:val="auto"/>
              </w:rPr>
            </w:pPr>
            <w:r>
              <w:rPr>
                <w:rFonts w:ascii="Arial" w:cs="Arial" w:eastAsia="Arial" w:hAnsi="Arial"/>
                <w:sz w:val="12"/>
                <w:szCs w:val="12"/>
                <w:color w:val="auto"/>
              </w:rPr>
              <w:t>December 31,</w:t>
            </w:r>
          </w:p>
        </w:tc>
        <w:tc>
          <w:tcPr>
            <w:tcW w:w="1200" w:type="dxa"/>
            <w:vAlign w:val="bottom"/>
          </w:tcPr>
          <w:p>
            <w:pPr>
              <w:jc w:val="center"/>
              <w:spacing w:after="0" w:line="114" w:lineRule="exact"/>
              <w:rPr>
                <w:sz w:val="20"/>
                <w:szCs w:val="20"/>
                <w:color w:val="auto"/>
              </w:rPr>
            </w:pPr>
            <w:r>
              <w:rPr>
                <w:rFonts w:ascii="Arial" w:cs="Arial" w:eastAsia="Arial" w:hAnsi="Arial"/>
                <w:sz w:val="12"/>
                <w:szCs w:val="12"/>
                <w:color w:val="auto"/>
              </w:rPr>
              <w:t>March 31,</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6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color w:val="auto"/>
                <w:w w:val="97"/>
              </w:rPr>
              <w:t>2012</w:t>
            </w:r>
          </w:p>
        </w:tc>
        <w:tc>
          <w:tcPr>
            <w:tcW w:w="120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51"/>
              <w:spacing w:after="0" w:line="150" w:lineRule="exact"/>
              <w:rPr>
                <w:sz w:val="20"/>
                <w:szCs w:val="20"/>
                <w:color w:val="auto"/>
              </w:rPr>
            </w:pPr>
            <w:r>
              <w:rPr>
                <w:rFonts w:ascii="Arial" w:cs="Arial" w:eastAsia="Arial" w:hAnsi="Arial"/>
                <w:sz w:val="15"/>
                <w:szCs w:val="15"/>
                <w:b w:val="1"/>
                <w:bCs w:val="1"/>
                <w:color w:val="auto"/>
              </w:rPr>
              <w:t>48,673</w:t>
            </w:r>
          </w:p>
        </w:tc>
        <w:tc>
          <w:tcPr>
            <w:tcW w:w="1560" w:type="dxa"/>
            <w:vAlign w:val="bottom"/>
          </w:tcPr>
          <w:p>
            <w:pPr>
              <w:jc w:val="right"/>
              <w:ind w:right="232"/>
              <w:spacing w:after="0" w:line="150" w:lineRule="exact"/>
              <w:rPr>
                <w:sz w:val="20"/>
                <w:szCs w:val="20"/>
                <w:color w:val="auto"/>
              </w:rPr>
            </w:pPr>
            <w:r>
              <w:rPr>
                <w:rFonts w:ascii="Arial" w:cs="Arial" w:eastAsia="Arial" w:hAnsi="Arial"/>
                <w:sz w:val="15"/>
                <w:szCs w:val="15"/>
                <w:color w:val="auto"/>
              </w:rPr>
              <w:t>46,737</w:t>
            </w:r>
          </w:p>
        </w:tc>
        <w:tc>
          <w:tcPr>
            <w:tcW w:w="1200" w:type="dxa"/>
            <w:vAlign w:val="bottom"/>
          </w:tcPr>
          <w:p>
            <w:pPr>
              <w:jc w:val="right"/>
              <w:spacing w:after="0" w:line="150" w:lineRule="exact"/>
              <w:rPr>
                <w:sz w:val="20"/>
                <w:szCs w:val="20"/>
                <w:color w:val="auto"/>
              </w:rPr>
            </w:pPr>
            <w:r>
              <w:rPr>
                <w:rFonts w:ascii="Arial" w:cs="Arial" w:eastAsia="Arial" w:hAnsi="Arial"/>
                <w:sz w:val="15"/>
                <w:szCs w:val="15"/>
                <w:color w:val="auto"/>
              </w:rPr>
              <w:t>52,800</w:t>
            </w: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5"/>
                <w:szCs w:val="15"/>
                <w:b w:val="1"/>
                <w:bCs w:val="1"/>
                <w:color w:val="auto"/>
              </w:rPr>
              <w:t>18,523</w:t>
            </w:r>
          </w:p>
        </w:tc>
        <w:tc>
          <w:tcPr>
            <w:tcW w:w="1560" w:type="dxa"/>
            <w:vAlign w:val="bottom"/>
            <w:tcBorders>
              <w:bottom w:val="single" w:sz="8" w:color="auto"/>
            </w:tcBorders>
          </w:tcPr>
          <w:p>
            <w:pPr>
              <w:jc w:val="right"/>
              <w:ind w:right="232"/>
              <w:spacing w:after="0"/>
              <w:rPr>
                <w:sz w:val="20"/>
                <w:szCs w:val="20"/>
                <w:color w:val="auto"/>
              </w:rPr>
            </w:pPr>
            <w:r>
              <w:rPr>
                <w:rFonts w:ascii="Arial" w:cs="Arial" w:eastAsia="Arial" w:hAnsi="Arial"/>
                <w:sz w:val="15"/>
                <w:szCs w:val="15"/>
                <w:color w:val="auto"/>
              </w:rPr>
              <w:t>18,733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23,184</w:t>
            </w: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51"/>
              <w:spacing w:after="0" w:line="167" w:lineRule="exact"/>
              <w:rPr>
                <w:sz w:val="20"/>
                <w:szCs w:val="20"/>
                <w:color w:val="auto"/>
              </w:rPr>
            </w:pPr>
            <w:r>
              <w:rPr>
                <w:rFonts w:ascii="Arial" w:cs="Arial" w:eastAsia="Arial" w:hAnsi="Arial"/>
                <w:sz w:val="15"/>
                <w:szCs w:val="15"/>
                <w:b w:val="1"/>
                <w:bCs w:val="1"/>
                <w:color w:val="auto"/>
              </w:rPr>
              <w:t>67,196</w:t>
            </w:r>
          </w:p>
        </w:tc>
        <w:tc>
          <w:tcPr>
            <w:tcW w:w="1560" w:type="dxa"/>
            <w:vAlign w:val="bottom"/>
            <w:tcBorders>
              <w:bottom w:val="single" w:sz="8" w:color="auto"/>
            </w:tcBorders>
          </w:tcPr>
          <w:p>
            <w:pPr>
              <w:jc w:val="right"/>
              <w:ind w:right="232"/>
              <w:spacing w:after="0" w:line="167" w:lineRule="exact"/>
              <w:rPr>
                <w:sz w:val="20"/>
                <w:szCs w:val="20"/>
                <w:color w:val="auto"/>
              </w:rPr>
            </w:pPr>
            <w:r>
              <w:rPr>
                <w:rFonts w:ascii="Arial" w:cs="Arial" w:eastAsia="Arial" w:hAnsi="Arial"/>
                <w:sz w:val="15"/>
                <w:szCs w:val="15"/>
                <w:color w:val="auto"/>
              </w:rPr>
              <w:t>65,470</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75,984</w:t>
            </w: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25"/>
        </w:trPr>
        <w:tc>
          <w:tcPr>
            <w:tcW w:w="7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Students as of</w:t>
            </w:r>
          </w:p>
        </w:tc>
        <w:tc>
          <w:tcPr>
            <w:tcW w:w="1200" w:type="dxa"/>
            <w:vAlign w:val="bottom"/>
            <w:tcBorders>
              <w:bottom w:val="single" w:sz="8" w:color="auto"/>
            </w:tcBorders>
          </w:tcPr>
          <w:p>
            <w:pPr>
              <w:spacing w:after="0"/>
              <w:rPr>
                <w:sz w:val="24"/>
                <w:szCs w:val="24"/>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11"/>
              <w:spacing w:after="0" w:line="114" w:lineRule="exact"/>
              <w:rPr>
                <w:sz w:val="20"/>
                <w:szCs w:val="20"/>
                <w:color w:val="auto"/>
              </w:rPr>
            </w:pPr>
            <w:r>
              <w:rPr>
                <w:rFonts w:ascii="Arial" w:cs="Arial" w:eastAsia="Arial" w:hAnsi="Arial"/>
                <w:sz w:val="12"/>
                <w:szCs w:val="12"/>
                <w:b w:val="1"/>
                <w:bCs w:val="1"/>
                <w:color w:val="auto"/>
              </w:rPr>
              <w:t>March 31,</w:t>
            </w:r>
          </w:p>
        </w:tc>
        <w:tc>
          <w:tcPr>
            <w:tcW w:w="1560" w:type="dxa"/>
            <w:vAlign w:val="bottom"/>
          </w:tcPr>
          <w:p>
            <w:pPr>
              <w:jc w:val="center"/>
              <w:ind w:right="152"/>
              <w:spacing w:after="0" w:line="114" w:lineRule="exact"/>
              <w:rPr>
                <w:sz w:val="20"/>
                <w:szCs w:val="20"/>
                <w:color w:val="auto"/>
              </w:rPr>
            </w:pPr>
            <w:r>
              <w:rPr>
                <w:rFonts w:ascii="Arial" w:cs="Arial" w:eastAsia="Arial" w:hAnsi="Arial"/>
                <w:sz w:val="12"/>
                <w:szCs w:val="12"/>
                <w:color w:val="auto"/>
              </w:rPr>
              <w:t>December 31,</w:t>
            </w:r>
          </w:p>
        </w:tc>
        <w:tc>
          <w:tcPr>
            <w:tcW w:w="1200" w:type="dxa"/>
            <w:vAlign w:val="bottom"/>
          </w:tcPr>
          <w:p>
            <w:pPr>
              <w:jc w:val="center"/>
              <w:spacing w:after="0" w:line="114" w:lineRule="exact"/>
              <w:rPr>
                <w:sz w:val="20"/>
                <w:szCs w:val="20"/>
                <w:color w:val="auto"/>
              </w:rPr>
            </w:pPr>
            <w:r>
              <w:rPr>
                <w:rFonts w:ascii="Arial" w:cs="Arial" w:eastAsia="Arial" w:hAnsi="Arial"/>
                <w:sz w:val="12"/>
                <w:szCs w:val="12"/>
                <w:color w:val="auto"/>
              </w:rPr>
              <w:t>March 31,</w:t>
            </w:r>
          </w:p>
        </w:tc>
      </w:tr>
      <w:tr>
        <w:trPr>
          <w:trHeight w:val="151"/>
        </w:trPr>
        <w:tc>
          <w:tcPr>
            <w:tcW w:w="7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(excluding campuses closing)</w:t>
            </w: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56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color w:val="auto"/>
                <w:w w:val="97"/>
              </w:rPr>
              <w:t>2012</w:t>
            </w:r>
          </w:p>
        </w:tc>
        <w:tc>
          <w:tcPr>
            <w:tcW w:w="120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51"/>
              <w:spacing w:after="0" w:line="150" w:lineRule="exact"/>
              <w:rPr>
                <w:sz w:val="20"/>
                <w:szCs w:val="20"/>
                <w:color w:val="auto"/>
              </w:rPr>
            </w:pPr>
            <w:r>
              <w:rPr>
                <w:rFonts w:ascii="Arial" w:cs="Arial" w:eastAsia="Arial" w:hAnsi="Arial"/>
                <w:sz w:val="15"/>
                <w:szCs w:val="15"/>
                <w:b w:val="1"/>
                <w:bCs w:val="1"/>
                <w:color w:val="auto"/>
              </w:rPr>
              <w:t>48,673</w:t>
            </w:r>
          </w:p>
        </w:tc>
        <w:tc>
          <w:tcPr>
            <w:tcW w:w="1560" w:type="dxa"/>
            <w:vAlign w:val="bottom"/>
          </w:tcPr>
          <w:p>
            <w:pPr>
              <w:jc w:val="right"/>
              <w:ind w:right="232"/>
              <w:spacing w:after="0" w:line="150" w:lineRule="exact"/>
              <w:rPr>
                <w:sz w:val="20"/>
                <w:szCs w:val="20"/>
                <w:color w:val="auto"/>
              </w:rPr>
            </w:pPr>
            <w:r>
              <w:rPr>
                <w:rFonts w:ascii="Arial" w:cs="Arial" w:eastAsia="Arial" w:hAnsi="Arial"/>
                <w:sz w:val="15"/>
                <w:szCs w:val="15"/>
                <w:color w:val="auto"/>
              </w:rPr>
              <w:t>46,737</w:t>
            </w:r>
          </w:p>
        </w:tc>
        <w:tc>
          <w:tcPr>
            <w:tcW w:w="1200" w:type="dxa"/>
            <w:vAlign w:val="bottom"/>
          </w:tcPr>
          <w:p>
            <w:pPr>
              <w:jc w:val="right"/>
              <w:spacing w:after="0" w:line="150" w:lineRule="exact"/>
              <w:rPr>
                <w:sz w:val="20"/>
                <w:szCs w:val="20"/>
                <w:color w:val="auto"/>
              </w:rPr>
            </w:pPr>
            <w:r>
              <w:rPr>
                <w:rFonts w:ascii="Arial" w:cs="Arial" w:eastAsia="Arial" w:hAnsi="Arial"/>
                <w:sz w:val="15"/>
                <w:szCs w:val="15"/>
                <w:color w:val="auto"/>
              </w:rPr>
              <w:t>52,800</w:t>
            </w: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5"/>
                <w:szCs w:val="15"/>
                <w:b w:val="1"/>
                <w:bCs w:val="1"/>
                <w:color w:val="auto"/>
              </w:rPr>
              <w:t>17,615</w:t>
            </w:r>
          </w:p>
        </w:tc>
        <w:tc>
          <w:tcPr>
            <w:tcW w:w="1560" w:type="dxa"/>
            <w:vAlign w:val="bottom"/>
            <w:tcBorders>
              <w:bottom w:val="single" w:sz="8" w:color="auto"/>
            </w:tcBorders>
          </w:tcPr>
          <w:p>
            <w:pPr>
              <w:jc w:val="right"/>
              <w:ind w:right="232"/>
              <w:spacing w:after="0"/>
              <w:rPr>
                <w:sz w:val="20"/>
                <w:szCs w:val="20"/>
                <w:color w:val="auto"/>
              </w:rPr>
            </w:pPr>
            <w:r>
              <w:rPr>
                <w:rFonts w:ascii="Arial" w:cs="Arial" w:eastAsia="Arial" w:hAnsi="Arial"/>
                <w:sz w:val="15"/>
                <w:szCs w:val="15"/>
                <w:color w:val="auto"/>
              </w:rPr>
              <w:t>16,901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19,459</w:t>
            </w: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51"/>
              <w:spacing w:after="0" w:line="167" w:lineRule="exact"/>
              <w:rPr>
                <w:sz w:val="20"/>
                <w:szCs w:val="20"/>
                <w:color w:val="auto"/>
              </w:rPr>
            </w:pPr>
            <w:r>
              <w:rPr>
                <w:rFonts w:ascii="Arial" w:cs="Arial" w:eastAsia="Arial" w:hAnsi="Arial"/>
                <w:sz w:val="15"/>
                <w:szCs w:val="15"/>
                <w:b w:val="1"/>
                <w:bCs w:val="1"/>
                <w:color w:val="auto"/>
              </w:rPr>
              <w:t>66,288</w:t>
            </w:r>
          </w:p>
        </w:tc>
        <w:tc>
          <w:tcPr>
            <w:tcW w:w="1560" w:type="dxa"/>
            <w:vAlign w:val="bottom"/>
            <w:tcBorders>
              <w:bottom w:val="single" w:sz="8" w:color="auto"/>
            </w:tcBorders>
          </w:tcPr>
          <w:p>
            <w:pPr>
              <w:jc w:val="right"/>
              <w:ind w:right="232"/>
              <w:spacing w:after="0" w:line="167" w:lineRule="exact"/>
              <w:rPr>
                <w:sz w:val="20"/>
                <w:szCs w:val="20"/>
                <w:color w:val="auto"/>
              </w:rPr>
            </w:pPr>
            <w:r>
              <w:rPr>
                <w:rFonts w:ascii="Arial" w:cs="Arial" w:eastAsia="Arial" w:hAnsi="Arial"/>
                <w:sz w:val="15"/>
                <w:szCs w:val="15"/>
                <w:color w:val="auto"/>
              </w:rPr>
              <w:t>63,638</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72,259</w:t>
            </w: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25" w:name="page26"/>
    <w:bookmarkEnd w:id="25"/>
    <w:p>
      <w:pPr>
        <w:ind w:right="300"/>
        <w:spacing w:after="0" w:line="235" w:lineRule="auto"/>
        <w:rPr>
          <w:sz w:val="20"/>
          <w:szCs w:val="20"/>
          <w:color w:val="auto"/>
        </w:rPr>
      </w:pPr>
      <w:r>
        <w:rPr>
          <w:rFonts w:ascii="Arial" w:cs="Arial" w:eastAsia="Arial" w:hAnsi="Arial"/>
          <w:sz w:val="17"/>
          <w:szCs w:val="17"/>
          <w:color w:val="auto"/>
        </w:rPr>
        <w:t>Kaplan University enrollments included 8,819, 7,991 and 9,298 campus-based students as of March 31, 2013, December 31, 2012, and March 31, 2012,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March 31, 2013, and March 31, 2012, by degree and certificate programs,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0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As of March 31,</w:t>
            </w:r>
          </w:p>
        </w:tc>
        <w:tc>
          <w:tcPr>
            <w:tcW w:w="860" w:type="dxa"/>
            <w:vAlign w:val="bottom"/>
            <w:tcBorders>
              <w:bottom w:val="single" w:sz="8" w:color="auto"/>
            </w:tcBorders>
          </w:tcPr>
          <w:p>
            <w:pPr>
              <w:spacing w:after="0"/>
              <w:rPr>
                <w:sz w:val="13"/>
                <w:szCs w:val="13"/>
                <w:color w:val="auto"/>
              </w:rPr>
            </w:pPr>
          </w:p>
        </w:tc>
      </w:tr>
      <w:tr>
        <w:trPr>
          <w:trHeight w:val="129"/>
        </w:trPr>
        <w:tc>
          <w:tcPr>
            <w:tcW w:w="84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1269"/>
              <w:spacing w:after="0" w:line="129" w:lineRule="exact"/>
              <w:rPr>
                <w:sz w:val="20"/>
                <w:szCs w:val="20"/>
                <w:color w:val="auto"/>
              </w:rPr>
            </w:pPr>
            <w:r>
              <w:rPr>
                <w:rFonts w:ascii="Arial" w:cs="Arial" w:eastAsia="Arial" w:hAnsi="Arial"/>
                <w:sz w:val="12"/>
                <w:szCs w:val="12"/>
                <w:b w:val="1"/>
                <w:bCs w:val="1"/>
                <w:color w:val="auto"/>
              </w:rPr>
              <w:t>2013</w:t>
            </w:r>
          </w:p>
        </w:tc>
        <w:tc>
          <w:tcPr>
            <w:tcW w:w="860" w:type="dxa"/>
            <w:vAlign w:val="bottom"/>
            <w:tcBorders>
              <w:bottom w:val="single" w:sz="8" w:color="auto"/>
            </w:tcBorders>
          </w:tcPr>
          <w:p>
            <w:pPr>
              <w:jc w:val="right"/>
              <w:ind w:right="368"/>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080" w:type="dxa"/>
            <w:vAlign w:val="bottom"/>
          </w:tcPr>
          <w:p>
            <w:pPr>
              <w:jc w:val="right"/>
              <w:ind w:right="849"/>
              <w:spacing w:after="0" w:line="150" w:lineRule="exact"/>
              <w:rPr>
                <w:sz w:val="20"/>
                <w:szCs w:val="20"/>
                <w:color w:val="auto"/>
              </w:rPr>
            </w:pPr>
            <w:r>
              <w:rPr>
                <w:rFonts w:ascii="Arial" w:cs="Arial" w:eastAsia="Arial" w:hAnsi="Arial"/>
                <w:sz w:val="15"/>
                <w:szCs w:val="15"/>
                <w:b w:val="1"/>
                <w:bCs w:val="1"/>
                <w:color w:val="auto"/>
              </w:rPr>
              <w:t>23.0 %</w:t>
            </w:r>
          </w:p>
        </w:tc>
        <w:tc>
          <w:tcPr>
            <w:tcW w:w="860" w:type="dxa"/>
            <w:vAlign w:val="bottom"/>
          </w:tcPr>
          <w:p>
            <w:pPr>
              <w:jc w:val="right"/>
              <w:ind w:right="8"/>
              <w:spacing w:after="0" w:line="150" w:lineRule="exact"/>
              <w:rPr>
                <w:sz w:val="20"/>
                <w:szCs w:val="20"/>
                <w:color w:val="auto"/>
              </w:rPr>
            </w:pPr>
            <w:r>
              <w:rPr>
                <w:rFonts w:ascii="Arial" w:cs="Arial" w:eastAsia="Arial" w:hAnsi="Arial"/>
                <w:sz w:val="15"/>
                <w:szCs w:val="15"/>
                <w:color w:val="auto"/>
              </w:rPr>
              <w:t>25.2 %</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Associate’s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35.7 %</w:t>
            </w:r>
          </w:p>
        </w:tc>
        <w:tc>
          <w:tcPr>
            <w:tcW w:w="860" w:type="dxa"/>
            <w:vAlign w:val="bottom"/>
          </w:tcPr>
          <w:p>
            <w:pPr>
              <w:jc w:val="right"/>
              <w:ind w:right="8"/>
              <w:spacing w:after="0"/>
              <w:rPr>
                <w:sz w:val="20"/>
                <w:szCs w:val="20"/>
                <w:color w:val="auto"/>
              </w:rPr>
            </w:pPr>
            <w:r>
              <w:rPr>
                <w:rFonts w:ascii="Arial" w:cs="Arial" w:eastAsia="Arial" w:hAnsi="Arial"/>
                <w:sz w:val="15"/>
                <w:szCs w:val="15"/>
                <w:color w:val="auto"/>
              </w:rPr>
              <w:t>29.7 %</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Bachelor’s</w:t>
            </w:r>
          </w:p>
        </w:tc>
        <w:tc>
          <w:tcPr>
            <w:tcW w:w="2080" w:type="dxa"/>
            <w:vAlign w:val="bottom"/>
          </w:tcPr>
          <w:p>
            <w:pPr>
              <w:jc w:val="right"/>
              <w:ind w:right="849"/>
              <w:spacing w:after="0"/>
              <w:rPr>
                <w:sz w:val="20"/>
                <w:szCs w:val="20"/>
                <w:color w:val="auto"/>
              </w:rPr>
            </w:pPr>
            <w:r>
              <w:rPr>
                <w:rFonts w:ascii="Arial" w:cs="Arial" w:eastAsia="Arial" w:hAnsi="Arial"/>
                <w:sz w:val="15"/>
                <w:szCs w:val="15"/>
                <w:b w:val="1"/>
                <w:bCs w:val="1"/>
                <w:color w:val="auto"/>
              </w:rPr>
              <w:t>29.5 %</w:t>
            </w:r>
          </w:p>
        </w:tc>
        <w:tc>
          <w:tcPr>
            <w:tcW w:w="860" w:type="dxa"/>
            <w:vAlign w:val="bottom"/>
          </w:tcPr>
          <w:p>
            <w:pPr>
              <w:jc w:val="right"/>
              <w:ind w:right="8"/>
              <w:spacing w:after="0"/>
              <w:rPr>
                <w:sz w:val="20"/>
                <w:szCs w:val="20"/>
                <w:color w:val="auto"/>
              </w:rPr>
            </w:pPr>
            <w:r>
              <w:rPr>
                <w:rFonts w:ascii="Arial" w:cs="Arial" w:eastAsia="Arial" w:hAnsi="Arial"/>
                <w:sz w:val="15"/>
                <w:szCs w:val="15"/>
                <w:color w:val="auto"/>
              </w:rPr>
              <w:t>33.6 %</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Master’s</w:t>
            </w:r>
          </w:p>
        </w:tc>
        <w:tc>
          <w:tcPr>
            <w:tcW w:w="2080" w:type="dxa"/>
            <w:vAlign w:val="bottom"/>
            <w:tcBorders>
              <w:bottom w:val="single" w:sz="8" w:color="auto"/>
            </w:tcBorders>
          </w:tcPr>
          <w:p>
            <w:pPr>
              <w:jc w:val="right"/>
              <w:ind w:right="849"/>
              <w:spacing w:after="0"/>
              <w:rPr>
                <w:sz w:val="20"/>
                <w:szCs w:val="20"/>
                <w:color w:val="auto"/>
              </w:rPr>
            </w:pPr>
            <w:r>
              <w:rPr>
                <w:rFonts w:ascii="Arial" w:cs="Arial" w:eastAsia="Arial" w:hAnsi="Arial"/>
                <w:sz w:val="15"/>
                <w:szCs w:val="15"/>
                <w:b w:val="1"/>
                <w:bCs w:val="1"/>
                <w:color w:val="auto"/>
              </w:rPr>
              <w:t>11.8 %</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11.5 %</w:t>
            </w:r>
          </w:p>
        </w:tc>
      </w:tr>
      <w:tr>
        <w:trPr>
          <w:trHeight w:val="166"/>
        </w:trPr>
        <w:tc>
          <w:tcPr>
            <w:tcW w:w="8480" w:type="dxa"/>
            <w:vAlign w:val="bottom"/>
          </w:tcPr>
          <w:p>
            <w:pPr>
              <w:spacing w:after="0"/>
              <w:rPr>
                <w:sz w:val="14"/>
                <w:szCs w:val="14"/>
                <w:color w:val="auto"/>
              </w:rPr>
            </w:pPr>
          </w:p>
        </w:tc>
        <w:tc>
          <w:tcPr>
            <w:tcW w:w="2080" w:type="dxa"/>
            <w:vAlign w:val="bottom"/>
            <w:tcBorders>
              <w:bottom w:val="single" w:sz="8" w:color="auto"/>
            </w:tcBorders>
          </w:tcPr>
          <w:p>
            <w:pPr>
              <w:jc w:val="right"/>
              <w:ind w:right="849"/>
              <w:spacing w:after="0" w:line="167" w:lineRule="exact"/>
              <w:rPr>
                <w:sz w:val="20"/>
                <w:szCs w:val="20"/>
                <w:color w:val="auto"/>
              </w:rPr>
            </w:pPr>
            <w:r>
              <w:rPr>
                <w:rFonts w:ascii="Arial" w:cs="Arial" w:eastAsia="Arial" w:hAnsi="Arial"/>
                <w:sz w:val="15"/>
                <w:szCs w:val="15"/>
                <w:b w:val="1"/>
                <w:bCs w:val="1"/>
                <w:color w:val="auto"/>
              </w:rPr>
              <w:t>100.0 %</w:t>
            </w:r>
          </w:p>
        </w:tc>
        <w:tc>
          <w:tcPr>
            <w:tcW w:w="86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100.0 %</w:t>
            </w:r>
          </w:p>
        </w:tc>
      </w:tr>
      <w:tr>
        <w:trPr>
          <w:trHeight w:val="20"/>
        </w:trPr>
        <w:tc>
          <w:tcPr>
            <w:tcW w:w="84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Kaplan Test Preparation (KTP) includes Kaplan’s standardized test preparation and tutoring offerings and other businesses. KTP revenue increased 10% in the first quarter of 2013. Total enrollment was down slightly in the first quarter of 2013 due to declines in graduate programs, offset by continued strength in pre-college, nursing and bar review programs. KTP operating results improved in the first quarter of 2013 due largely to increased revenues.</w:t>
      </w:r>
    </w:p>
    <w:p>
      <w:pPr>
        <w:spacing w:after="0" w:line="167"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States. Kaplan International revenue increased 6% in the first quarter of 2013 due largely to enrollment growth in the pathways, English-language and Singapore higher education programs. Kaplan International operating income increased in the first quarter of 2013 due primarily to strong results in Singapore. In the first quarter of 2013, severance costs totaled $0.3 million in Australia, where Kaplan has been consolidating and restructuring its businesses to optimize operations.</w:t>
      </w:r>
    </w:p>
    <w:p>
      <w:pPr>
        <w:spacing w:after="0" w:line="1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Corporate represents unallocated expenses of Kaplan, Inc.’s corporate office, other minor businesses and shared activities, and Colloquy, which was moved from Kaplan International to Kaplan corporate in 2013. The comparative division results presented above reflect this change.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Cable television division revenue for the first quarter of 2013 increased 5% to $ 200.1 million, from $190.2 million for the first quarter of 2012. The revenue results reflect rate increases for many subscribers in June 2012, partially offset by a decline in basic video subscribers.</w:t>
      </w:r>
    </w:p>
    <w:p>
      <w:pPr>
        <w:spacing w:after="0" w:line="1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Cable television division operating income increased 12% to $36.6 million, from $32.8 million in the first quarter of 2012, due to increased revenues, partially offset by higher programming and depreciation costs.</w:t>
      </w:r>
    </w:p>
    <w:p>
      <w:pPr>
        <w:spacing w:after="0" w:line="176"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At March 31, 2013, Primary Service Units (PSUs) were down 3% from the prior year due to a decline in basic video subscribers. PSUs include about 6,000 subscribers who receive free basic cable service, primarily local governments, schools and other organizations as required by various franchise agreements. A summary of PSUs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March 31,</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49"/>
              <w:spacing w:after="0" w:line="129" w:lineRule="exact"/>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27"/>
              <w:spacing w:after="0" w:line="129" w:lineRule="exact"/>
              <w:rPr>
                <w:sz w:val="20"/>
                <w:szCs w:val="20"/>
                <w:color w:val="auto"/>
              </w:rPr>
            </w:pPr>
            <w:r>
              <w:rPr>
                <w:rFonts w:ascii="Arial" w:cs="Arial" w:eastAsia="Arial" w:hAnsi="Arial"/>
                <w:sz w:val="12"/>
                <w:szCs w:val="12"/>
                <w:color w:val="auto"/>
              </w:rPr>
              <w:t>2012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588,180</w:t>
            </w:r>
          </w:p>
        </w:tc>
        <w:tc>
          <w:tcPr>
            <w:tcW w:w="520" w:type="dxa"/>
            <w:vAlign w:val="bottom"/>
          </w:tcPr>
          <w:p>
            <w:pPr>
              <w:spacing w:after="0"/>
              <w:rPr>
                <w:sz w:val="13"/>
                <w:szCs w:val="13"/>
                <w:color w:val="auto"/>
              </w:rPr>
            </w:pP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622,339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High-speed data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5"/>
                <w:szCs w:val="15"/>
                <w:b w:val="1"/>
                <w:bCs w:val="1"/>
                <w:color w:val="auto"/>
              </w:rPr>
              <w:t>463,726</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463,443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Telephony</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185,717</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186,009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1,237,623</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1,271,791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7"/>
                <w:szCs w:val="17"/>
                <w:color w:val="auto"/>
              </w:rPr>
              <w:t>Below are details of Cable division capital expenditures as defined by the NCTA Standard Reporting Categories:</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09"/>
              <w:spacing w:after="0" w:line="129" w:lineRule="exact"/>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7"/>
              <w:spacing w:after="0" w:line="129" w:lineRule="exact"/>
              <w:rPr>
                <w:sz w:val="20"/>
                <w:szCs w:val="20"/>
                <w:color w:val="auto"/>
              </w:rPr>
            </w:pPr>
            <w:r>
              <w:rPr>
                <w:rFonts w:ascii="Arial" w:cs="Arial" w:eastAsia="Arial" w:hAnsi="Arial"/>
                <w:sz w:val="12"/>
                <w:szCs w:val="12"/>
                <w:color w:val="auto"/>
                <w:w w:val="97"/>
              </w:rPr>
              <w:t>2012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380" w:type="dxa"/>
            <w:vAlign w:val="bottom"/>
            <w:gridSpan w:val="2"/>
          </w:tcPr>
          <w:p>
            <w:pPr>
              <w:jc w:val="right"/>
              <w:ind w:right="160"/>
              <w:spacing w:after="0" w:line="150" w:lineRule="exact"/>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89"/>
              <w:spacing w:after="0" w:line="150" w:lineRule="exact"/>
              <w:rPr>
                <w:sz w:val="20"/>
                <w:szCs w:val="20"/>
                <w:color w:val="auto"/>
              </w:rPr>
            </w:pPr>
            <w:r>
              <w:rPr>
                <w:rFonts w:ascii="Arial" w:cs="Arial" w:eastAsia="Arial" w:hAnsi="Arial"/>
                <w:sz w:val="15"/>
                <w:szCs w:val="15"/>
                <w:b w:val="1"/>
                <w:bCs w:val="1"/>
                <w:color w:val="auto"/>
              </w:rPr>
              <w:t>5,361</w:t>
            </w:r>
          </w:p>
        </w:tc>
        <w:tc>
          <w:tcPr>
            <w:tcW w:w="52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15,813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Commercial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89"/>
              <w:spacing w:after="0"/>
              <w:rPr>
                <w:sz w:val="20"/>
                <w:szCs w:val="20"/>
                <w:color w:val="auto"/>
              </w:rPr>
            </w:pPr>
            <w:r>
              <w:rPr>
                <w:rFonts w:ascii="Arial" w:cs="Arial" w:eastAsia="Arial" w:hAnsi="Arial"/>
                <w:sz w:val="15"/>
                <w:szCs w:val="15"/>
                <w:b w:val="1"/>
                <w:bCs w:val="1"/>
                <w:color w:val="auto"/>
              </w:rPr>
              <w:t>790</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89"/>
              <w:spacing w:after="0"/>
              <w:rPr>
                <w:sz w:val="20"/>
                <w:szCs w:val="20"/>
                <w:color w:val="auto"/>
              </w:rPr>
            </w:pPr>
            <w:r>
              <w:rPr>
                <w:rFonts w:ascii="Arial" w:cs="Arial" w:eastAsia="Arial" w:hAnsi="Arial"/>
                <w:sz w:val="15"/>
                <w:szCs w:val="15"/>
                <w:b w:val="1"/>
                <w:bCs w:val="1"/>
                <w:color w:val="auto"/>
              </w:rPr>
              <w:t>3,032</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Line Extensions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89"/>
              <w:spacing w:after="0"/>
              <w:rPr>
                <w:sz w:val="20"/>
                <w:szCs w:val="20"/>
                <w:color w:val="auto"/>
              </w:rPr>
            </w:pPr>
            <w:r>
              <w:rPr>
                <w:rFonts w:ascii="Arial" w:cs="Arial" w:eastAsia="Arial" w:hAnsi="Arial"/>
                <w:sz w:val="15"/>
                <w:szCs w:val="15"/>
                <w:b w:val="1"/>
                <w:bCs w:val="1"/>
                <w:color w:val="auto"/>
              </w:rPr>
              <w:t>890</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Upgrade/Rebuild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89"/>
              <w:spacing w:after="0"/>
              <w:rPr>
                <w:sz w:val="20"/>
                <w:szCs w:val="20"/>
                <w:color w:val="auto"/>
              </w:rPr>
            </w:pPr>
            <w:r>
              <w:rPr>
                <w:rFonts w:ascii="Arial" w:cs="Arial" w:eastAsia="Arial" w:hAnsi="Arial"/>
                <w:sz w:val="15"/>
                <w:szCs w:val="15"/>
                <w:b w:val="1"/>
                <w:bCs w:val="1"/>
                <w:color w:val="auto"/>
              </w:rPr>
              <w:t>6,001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Support Capital</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9"/>
              <w:spacing w:after="0"/>
              <w:rPr>
                <w:sz w:val="20"/>
                <w:szCs w:val="20"/>
                <w:color w:val="auto"/>
              </w:rPr>
            </w:pPr>
            <w:r>
              <w:rPr>
                <w:rFonts w:ascii="Arial" w:cs="Arial" w:eastAsia="Arial" w:hAnsi="Arial"/>
                <w:sz w:val="15"/>
                <w:szCs w:val="15"/>
                <w:b w:val="1"/>
                <w:bCs w:val="1"/>
                <w:color w:val="auto"/>
              </w:rPr>
              <w:t>11,085</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160"/>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189"/>
              <w:spacing w:after="0" w:line="167" w:lineRule="exact"/>
              <w:rPr>
                <w:sz w:val="20"/>
                <w:szCs w:val="20"/>
                <w:color w:val="auto"/>
              </w:rPr>
            </w:pPr>
            <w:r>
              <w:rPr>
                <w:rFonts w:ascii="Arial" w:cs="Arial" w:eastAsia="Arial" w:hAnsi="Arial"/>
                <w:sz w:val="15"/>
                <w:szCs w:val="15"/>
                <w:b w:val="1"/>
                <w:bCs w:val="1"/>
                <w:color w:val="auto"/>
              </w:rPr>
              <w:t>27,159</w:t>
            </w:r>
          </w:p>
        </w:tc>
        <w:tc>
          <w:tcPr>
            <w:tcW w:w="52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31,725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5620"/>
              <w:spacing w:after="0"/>
              <w:rPr>
                <w:sz w:val="20"/>
                <w:szCs w:val="20"/>
                <w:color w:val="auto"/>
              </w:rPr>
            </w:pPr>
            <w:r>
              <w:rPr>
                <w:rFonts w:ascii="Arial" w:cs="Arial" w:eastAsia="Arial" w:hAnsi="Arial"/>
                <w:sz w:val="17"/>
                <w:szCs w:val="17"/>
                <w:color w:val="auto"/>
              </w:rPr>
              <w:t>23</w:t>
            </w: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995" w:right="19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22" w:lineRule="exact"/>
        <w:rPr>
          <w:sz w:val="20"/>
          <w:szCs w:val="20"/>
          <w:color w:val="auto"/>
        </w:rPr>
      </w:pPr>
    </w:p>
    <w:p>
      <w:pPr>
        <w:ind w:right="240"/>
        <w:spacing w:after="0" w:line="230" w:lineRule="auto"/>
        <w:rPr>
          <w:sz w:val="20"/>
          <w:szCs w:val="20"/>
          <w:color w:val="auto"/>
        </w:rPr>
      </w:pPr>
      <w:r>
        <w:rPr>
          <w:rFonts w:ascii="Arial" w:cs="Arial" w:eastAsia="Arial" w:hAnsi="Arial"/>
          <w:sz w:val="17"/>
          <w:szCs w:val="17"/>
          <w:color w:val="auto"/>
        </w:rPr>
        <w:t>Newspaper publishing division revenue totaled $127.3 million for the first quarter of 2013, down 4% from revenue of $132.5 million for the first quarter of 2012. Print advertising revenue at The Washington Post (“the Post”) in the first quarter of 2013 declined 8% to $48.6 million, from $52.7 million in the first quarter of 2012. The decline is largely due to reductions in general and retail advertising. Revenue generated by the Company’s newspaper online publishing activities, primarily washingtonpost.com and Slate, increased 8% to $25.8 million for the first quarter of 2013, versus $23.9 million for the first quarter of 2012. Display online advertising revenue increased 16% for the first quarter of 2013. Online classified advertising revenue on washingtonpost.com declined 6% for the first quarter of 2013.</w:t>
      </w:r>
    </w:p>
    <w:p>
      <w:pPr>
        <w:spacing w:after="0" w:line="105"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For the first quarter of 2013, daily and Sunday circulation at the Post declined 7.2% and 7.7%, respectively, compared to the first quarter of 2012. For the first quarter of 2013, average daily circulation at the Post totaled 457,100, and average Sunday circulation totaled 659,500. In January 2013, the Post implemented circulation price increases for daily home delivery and daily and Sunday single copy categories.</w:t>
      </w:r>
    </w:p>
    <w:p>
      <w:pPr>
        <w:spacing w:after="0" w:line="101"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In February 2013, the Company announced a Voluntary Retirement Incentive Program (VRIP) which was offered to certain employees of the Post. The VRIP expense is estimated at $20.4 million, which will be funded from the assets of the Company’s pension plan. Of this amount, $12.0 million was recorded in the first quarter of 2013; the remainder will be recorded in the second quarter of 2013. The Post also implemented a Separation Incentive Program in February 2013 that resulted in an additional $2.3 million in early retirement program expense, which will also be funded from the assets of the Company pension plan. In addition, voluntary severance and other early retirement expense of $1.6 million and $1.9 million was recorded at the newspaper publishing division in the first quarter of 2013 and 2012, respectively.</w:t>
      </w:r>
    </w:p>
    <w:p>
      <w:pPr>
        <w:spacing w:after="0" w:line="105"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The newspaper publishing division reported an operating loss of $34.5 million in the first quarter of 2013, compared to an operating loss of $20.6 million in the first quarter of 2012. These operating losses include noncash pension expense of $22.9 million and $8.5 million for the first quarter of 2013 and 2012, respectively. The decline in operating results is primarily due to the $14.0 million increase in early retirement and severance expense, offset partially by a reduction in other operating expenses. Newsprint expense was down 12% for the first quarter of 2013 compared to the first quarter of 2012 due to a decline in newsprint consumption.</w:t>
      </w:r>
    </w:p>
    <w:p>
      <w:pPr>
        <w:spacing w:after="0" w:line="102" w:lineRule="exact"/>
        <w:rPr>
          <w:sz w:val="20"/>
          <w:szCs w:val="20"/>
          <w:color w:val="auto"/>
        </w:rPr>
      </w:pPr>
    </w:p>
    <w:p>
      <w:pPr>
        <w:ind w:right="800"/>
        <w:spacing w:after="0" w:line="235"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Consequently, the newspaper division’s operating results exclude The Herald.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2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Revenue for the television broadcasting division increased 5% in the first quarter of 2013 to $85.3 million, from $ 81.5 million in 2012; operating income for the first quarter of 2013 increased 14% to $35.4 million, from $31.0 million in 2012. The increase in revenue and operating income reflects growth in advertising demand across many product categories and increased retransmission revenues, offset by a $2.8 million decline in political advertising revenue.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businesses includes the operating results of Social Code, a marketing solutions provider helping companies with marketing on social media platforms; Celtic Healthcare, Inc., a provider of home health care and hospice services in the northeastern and mid-Atlantic regions that was acquired by the Company in November 2012; and WaPo Labs, a digital team focused on emerging technologies and new product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00"/>
          </w:cols>
          <w:pgMar w:left="240" w:top="1087" w:right="259" w:bottom="1440" w:gutter="0" w:footer="0" w:header="0"/>
        </w:sectPr>
      </w:pPr>
    </w:p>
    <w:bookmarkStart w:id="27" w:name="page28"/>
    <w:bookmarkEnd w:id="27"/>
    <w:p>
      <w:pPr>
        <w:ind w:right="560"/>
        <w:spacing w:after="0" w:line="457" w:lineRule="auto"/>
        <w:rPr>
          <w:sz w:val="20"/>
          <w:szCs w:val="20"/>
          <w:color w:val="auto"/>
        </w:rPr>
      </w:pPr>
      <w:r>
        <w:rPr>
          <w:rFonts w:ascii="Arial" w:cs="Arial" w:eastAsia="Arial" w:hAnsi="Arial"/>
          <w:sz w:val="17"/>
          <w:szCs w:val="17"/>
          <w:color w:val="auto"/>
        </w:rPr>
        <w:t xml:space="preserve">The Company’s equity in earnings of affiliates, net, for the first quarter of 2013 was $3.4 million, compared to $3.9 million for the first quarter of 2012. </w:t>
      </w:r>
      <w:r>
        <w:rPr>
          <w:rFonts w:ascii="Arial" w:cs="Arial" w:eastAsia="Arial" w:hAnsi="Arial"/>
          <w:sz w:val="17"/>
          <w:szCs w:val="17"/>
          <w:b w:val="1"/>
          <w:bCs w:val="1"/>
          <w:u w:val="single" w:color="auto"/>
          <w:color w:val="auto"/>
        </w:rPr>
        <w:t>Other Non-Operating (Expense) Income</w:t>
      </w:r>
    </w:p>
    <w:p>
      <w:pPr>
        <w:ind w:right="100"/>
        <w:spacing w:after="0" w:line="232" w:lineRule="auto"/>
        <w:rPr>
          <w:sz w:val="20"/>
          <w:szCs w:val="20"/>
          <w:color w:val="auto"/>
        </w:rPr>
      </w:pPr>
      <w:r>
        <w:rPr>
          <w:rFonts w:ascii="Arial" w:cs="Arial" w:eastAsia="Arial" w:hAnsi="Arial"/>
          <w:sz w:val="17"/>
          <w:szCs w:val="17"/>
          <w:color w:val="auto"/>
        </w:rPr>
        <w:t>The Company recorded other non-operating expense, net, of $4.1 million for the first quarter of 2013, compared to other non-operating income, net, of $8.6 million for the first quarter of 2012. The first quarter 2013 non-operating expense, net, included $4.6 million in unrealized foreign currency losses and other items. The first quarter 2012 non-operating income, net, included a $5.8 million gain on the sale of a cost method investment, $2.7 million in unrealized foreign currency gains and 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2"/>
                <w:szCs w:val="12"/>
                <w:color w:val="auto"/>
              </w:rPr>
            </w:pPr>
          </w:p>
        </w:tc>
      </w:tr>
      <w:tr>
        <w:trPr>
          <w:trHeight w:val="151"/>
        </w:trPr>
        <w:tc>
          <w:tcPr>
            <w:tcW w:w="84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2"/>
                <w:szCs w:val="12"/>
                <w:b w:val="1"/>
                <w:bCs w:val="1"/>
                <w:color w:val="auto"/>
              </w:rPr>
              <w:t>March 31,</w:t>
            </w:r>
          </w:p>
        </w:tc>
        <w:tc>
          <w:tcPr>
            <w:tcW w:w="840" w:type="dxa"/>
            <w:vAlign w:val="bottom"/>
            <w:tcBorders>
              <w:bottom w:val="single" w:sz="8" w:color="auto"/>
            </w:tcBorders>
          </w:tcPr>
          <w:p>
            <w:pPr>
              <w:spacing w:after="0"/>
              <w:rPr>
                <w:sz w:val="13"/>
                <w:szCs w:val="13"/>
                <w:color w:val="auto"/>
              </w:rPr>
            </w:pPr>
          </w:p>
        </w:tc>
      </w:tr>
      <w:tr>
        <w:trPr>
          <w:trHeight w:val="129"/>
        </w:trPr>
        <w:tc>
          <w:tcPr>
            <w:tcW w:w="84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51"/>
              <w:spacing w:after="0" w:line="129"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8"/>
              <w:spacing w:after="0" w:line="129" w:lineRule="exact"/>
              <w:rPr>
                <w:sz w:val="20"/>
                <w:szCs w:val="20"/>
                <w:color w:val="auto"/>
              </w:rPr>
            </w:pPr>
            <w:r>
              <w:rPr>
                <w:rFonts w:ascii="Arial" w:cs="Arial" w:eastAsia="Arial" w:hAnsi="Arial"/>
                <w:sz w:val="12"/>
                <w:szCs w:val="12"/>
                <w:color w:val="auto"/>
                <w:w w:val="97"/>
              </w:rPr>
              <w:t>2012</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Foreign currency (losses) gains, net</w:t>
            </w:r>
          </w:p>
        </w:tc>
        <w:tc>
          <w:tcPr>
            <w:tcW w:w="380" w:type="dxa"/>
            <w:vAlign w:val="bottom"/>
          </w:tcPr>
          <w:p>
            <w:pPr>
              <w:jc w:val="right"/>
              <w:ind w:right="86"/>
              <w:spacing w:after="0" w:line="150" w:lineRule="exact"/>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31"/>
              <w:spacing w:after="0" w:line="150" w:lineRule="exact"/>
              <w:rPr>
                <w:sz w:val="20"/>
                <w:szCs w:val="20"/>
                <w:color w:val="auto"/>
              </w:rPr>
            </w:pPr>
            <w:r>
              <w:rPr>
                <w:rFonts w:ascii="Arial" w:cs="Arial" w:eastAsia="Arial" w:hAnsi="Arial"/>
                <w:sz w:val="15"/>
                <w:szCs w:val="15"/>
                <w:b w:val="1"/>
                <w:bCs w:val="1"/>
                <w:color w:val="auto"/>
              </w:rPr>
              <w:t>(4,614)</w:t>
            </w:r>
          </w:p>
        </w:tc>
        <w:tc>
          <w:tcPr>
            <w:tcW w:w="58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0" w:lineRule="exact"/>
              <w:rPr>
                <w:sz w:val="20"/>
                <w:szCs w:val="20"/>
                <w:color w:val="auto"/>
              </w:rPr>
            </w:pPr>
            <w:r>
              <w:rPr>
                <w:rFonts w:ascii="Arial" w:cs="Arial" w:eastAsia="Arial" w:hAnsi="Arial"/>
                <w:sz w:val="15"/>
                <w:szCs w:val="15"/>
                <w:color w:val="auto"/>
              </w:rPr>
              <w:t>2,660</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(Losses) gains on sales or write-downs of cost method investments</w:t>
            </w:r>
          </w:p>
        </w:tc>
        <w:tc>
          <w:tcPr>
            <w:tcW w:w="380" w:type="dxa"/>
            <w:vAlign w:val="bottom"/>
          </w:tcPr>
          <w:p>
            <w:pPr>
              <w:spacing w:after="0"/>
              <w:rPr>
                <w:sz w:val="15"/>
                <w:szCs w:val="15"/>
                <w:color w:val="auto"/>
              </w:rPr>
            </w:pPr>
          </w:p>
        </w:tc>
        <w:tc>
          <w:tcPr>
            <w:tcW w:w="1140" w:type="dxa"/>
            <w:vAlign w:val="bottom"/>
          </w:tcPr>
          <w:p>
            <w:pPr>
              <w:jc w:val="right"/>
              <w:ind w:right="131"/>
              <w:spacing w:after="0"/>
              <w:rPr>
                <w:sz w:val="20"/>
                <w:szCs w:val="20"/>
                <w:color w:val="auto"/>
              </w:rPr>
            </w:pPr>
            <w:r>
              <w:rPr>
                <w:rFonts w:ascii="Arial" w:cs="Arial" w:eastAsia="Arial" w:hAnsi="Arial"/>
                <w:sz w:val="15"/>
                <w:szCs w:val="15"/>
                <w:b w:val="1"/>
                <w:bCs w:val="1"/>
                <w:color w:val="auto"/>
              </w:rPr>
              <w:t>(179)</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5,766</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Other, net</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710</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w:t>
            </w:r>
          </w:p>
        </w:tc>
      </w:tr>
      <w:tr>
        <w:trPr>
          <w:trHeight w:val="166"/>
        </w:trPr>
        <w:tc>
          <w:tcPr>
            <w:tcW w:w="8480" w:type="dxa"/>
            <w:vAlign w:val="bottom"/>
          </w:tcPr>
          <w:p>
            <w:pPr>
              <w:ind w:left="240"/>
              <w:spacing w:after="0" w:line="167" w:lineRule="exact"/>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b w:val="1"/>
                <w:bCs w:val="1"/>
                <w:color w:val="auto"/>
              </w:rPr>
              <w:t>(4,083)</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8,588</w:t>
            </w:r>
          </w:p>
        </w:tc>
      </w:tr>
      <w:tr>
        <w:trPr>
          <w:trHeight w:val="20"/>
        </w:trPr>
        <w:tc>
          <w:tcPr>
            <w:tcW w:w="8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Company incurred net interest expense of $8.5 million for the first quarter of 2013, compared to $8.1 million for the first quarter of 2012. At March 31, 2013, the Company had $456.9 million in borrowings outstanding at an average interest rate of 7.0%.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quarter of 2013 was 52.3%, compared to 45.6% for the first quarter of 2012. The high effective tax rate in the first quarter of 2013 and 2012 results primarily from losses in Australia for which no tax benefit is recorded.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Kaplan sold Kidum in August 2012, EduNeering in April 2012 and Kaplan Learning Technologies (KLT) in February 2012. The Company also divested its interest in Avenue100 Media Solutions in July 2012. Consequently, the Company’s income from continuing operations excludes these businesses, which have been reclassified to discontinued operations, net of tax.</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sale of The Herald resulted in a pre-tax loss of $0.1 million that was recorded in the first quarter of 2013. The sale of KLT resulted in a pre-tax loss of</w:t>
      </w:r>
    </w:p>
    <w:p>
      <w:pPr>
        <w:spacing w:after="0" w:line="2"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$3.1 million that was recorded in the first quarter of 2012. The sale of EduNeering resulted in a pre-tax gain of $29.5 million that was recorded in the second quarter of 2012. In the first quarter of 2012, in connection with each of the sales of the Company’s stock in KLT and EduNeering, the Company recorded $23.2 million of income tax benefits related to the excess of the outside stock tax basis over the net book value of the net assets acquired.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The calculation of diluted earnings per share for the first quarter of 2013 was based on 7,266,284 weighted average shares outstanding, compared to 7,614,623 for the first quarter of 2012. At March 31, 2013, there were 7,422,732 shares outstanding and the Company had remaining authorization from the Board of Directors to purchase up to 180,993 shares of Class B common stock.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and Dispositions</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the first quarter of 2013, the Company acquired one small business included in other businesses; the purchase price allocation mostly comprised goodwill and other intangible assets on a preliminary basis. In the first quarter of 2012, Kaplan acquired two small businesses in its International division; the purchase price allocation mostly comprised goodwill and other intangible assets. The assets and liabilities of the companies acquired have been recorded at their estimated fair values at the date of acquisition.</w:t>
      </w:r>
    </w:p>
    <w:p>
      <w:pPr>
        <w:spacing w:after="0" w:line="17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The Herald was previously reported in the newspaper publishing segment. Kaplan completed the sale of Kaplan Learning Technologies in February 2012, which was part of the Kaplan Ventures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9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During the first three months of 2013, the Company’s capital expenditures totaled $36.5 million. The Company estimates that its capital expenditures will be in the range of $225 million to $250 million in 2013.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Company’s borrowings decreased by $239.8 million, to $ 456.9 million at March 31, 2013, as compared to borrowings of $696.7 million at December 31, 2012</w:t>
      </w:r>
      <w:r>
        <w:rPr>
          <w:rFonts w:ascii="Arial" w:cs="Arial" w:eastAsia="Arial" w:hAnsi="Arial"/>
          <w:sz w:val="17"/>
          <w:szCs w:val="17"/>
          <w:i w:val="1"/>
          <w:iCs w:val="1"/>
          <w:color w:val="auto"/>
        </w:rPr>
        <w:t>.</w:t>
      </w:r>
      <w:r>
        <w:rPr>
          <w:rFonts w:ascii="Arial" w:cs="Arial" w:eastAsia="Arial" w:hAnsi="Arial"/>
          <w:sz w:val="17"/>
          <w:szCs w:val="17"/>
          <w:color w:val="auto"/>
        </w:rPr>
        <w:t xml:space="preserve"> At March 31, 2013, the Company had $300.7 million in cash and cash equivalents, compared to $512.4 million at December 31, 2012. The Company had money market investments of $190.9 million and $432.7 million that are classified as cash, cash equivalents and restricted cash in the Company’s condensed consolidated Balance Sheets as of March 31, 2013 and December 31, 2012, respectively.</w:t>
      </w:r>
    </w:p>
    <w:p>
      <w:pPr>
        <w:spacing w:after="0" w:line="175"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Company’s total debt outstanding of $456.9 million at March 31, 2013 included $397.6 million of 7.25% unsecured notes due February 1, 2019, $52.1 million of AUD 50M borrowing and $7.2 million in other debt.</w:t>
      </w:r>
    </w:p>
    <w:p>
      <w:pPr>
        <w:spacing w:after="0" w:line="176"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ratings were unchanged during the first quarter of 2013 and are as follows:</w:t>
      </w:r>
    </w:p>
    <w:tbl>
      <w:tblPr>
        <w:tblLayout w:type="fixed"/>
        <w:tblInd w:w="0" w:type="dxa"/>
        <w:tblCellMar>
          <w:top w:w="0" w:type="dxa"/>
          <w:left w:w="0" w:type="dxa"/>
          <w:bottom w:w="0" w:type="dxa"/>
          <w:right w:w="0" w:type="dxa"/>
        </w:tblCellMar>
      </w:tblPr>
      <w:tr>
        <w:trPr>
          <w:trHeight w:val="123"/>
        </w:trPr>
        <w:tc>
          <w:tcPr>
            <w:tcW w:w="49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080" w:type="dxa"/>
            <w:vAlign w:val="bottom"/>
          </w:tcPr>
          <w:p>
            <w:pPr>
              <w:jc w:val="right"/>
              <w:ind w:right="212"/>
              <w:spacing w:after="0" w:line="123" w:lineRule="exact"/>
              <w:rPr>
                <w:sz w:val="20"/>
                <w:szCs w:val="20"/>
                <w:color w:val="auto"/>
              </w:rPr>
            </w:pPr>
            <w:r>
              <w:rPr>
                <w:rFonts w:ascii="Arial" w:cs="Arial" w:eastAsia="Arial" w:hAnsi="Arial"/>
                <w:sz w:val="12"/>
                <w:szCs w:val="12"/>
                <w:b w:val="1"/>
                <w:bCs w:val="1"/>
                <w:color w:val="auto"/>
              </w:rPr>
              <w:t>Standard</w:t>
            </w:r>
          </w:p>
        </w:tc>
      </w:tr>
      <w:tr>
        <w:trPr>
          <w:trHeight w:val="151"/>
        </w:trPr>
        <w:tc>
          <w:tcPr>
            <w:tcW w:w="494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Moody’s</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&amp; Poor’s</w:t>
            </w:r>
          </w:p>
        </w:tc>
      </w:tr>
      <w:tr>
        <w:trPr>
          <w:trHeight w:val="168"/>
        </w:trPr>
        <w:tc>
          <w:tcPr>
            <w:tcW w:w="494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400" w:type="dxa"/>
            <w:vAlign w:val="bottom"/>
          </w:tcPr>
          <w:p>
            <w:pPr>
              <w:jc w:val="right"/>
              <w:ind w:right="190"/>
              <w:spacing w:after="0" w:line="168" w:lineRule="exact"/>
              <w:rPr>
                <w:sz w:val="20"/>
                <w:szCs w:val="20"/>
                <w:color w:val="auto"/>
              </w:rPr>
            </w:pPr>
            <w:r>
              <w:rPr>
                <w:rFonts w:ascii="Arial" w:cs="Arial" w:eastAsia="Arial" w:hAnsi="Arial"/>
                <w:sz w:val="15"/>
                <w:szCs w:val="15"/>
                <w:color w:val="auto"/>
              </w:rPr>
              <w:t>Baa1</w:t>
            </w:r>
          </w:p>
        </w:tc>
        <w:tc>
          <w:tcPr>
            <w:tcW w:w="1080" w:type="dxa"/>
            <w:vAlign w:val="bottom"/>
          </w:tcPr>
          <w:p>
            <w:pPr>
              <w:jc w:val="right"/>
              <w:spacing w:after="0" w:line="168" w:lineRule="exact"/>
              <w:rPr>
                <w:sz w:val="20"/>
                <w:szCs w:val="20"/>
                <w:color w:val="auto"/>
              </w:rPr>
            </w:pPr>
            <w:r>
              <w:rPr>
                <w:rFonts w:ascii="Arial" w:cs="Arial" w:eastAsia="Arial" w:hAnsi="Arial"/>
                <w:sz w:val="15"/>
                <w:szCs w:val="15"/>
                <w:color w:val="auto"/>
              </w:rPr>
              <w:t>BBB</w:t>
            </w:r>
          </w:p>
        </w:tc>
      </w:tr>
      <w:tr>
        <w:trPr>
          <w:trHeight w:val="179"/>
        </w:trPr>
        <w:tc>
          <w:tcPr>
            <w:tcW w:w="4940" w:type="dxa"/>
            <w:vAlign w:val="bottom"/>
          </w:tcPr>
          <w:p>
            <w:pPr>
              <w:spacing w:after="0"/>
              <w:rPr>
                <w:sz w:val="20"/>
                <w:szCs w:val="20"/>
                <w:color w:val="auto"/>
              </w:rPr>
            </w:pPr>
            <w:r>
              <w:rPr>
                <w:rFonts w:ascii="Arial" w:cs="Arial" w:eastAsia="Arial" w:hAnsi="Arial"/>
                <w:sz w:val="15"/>
                <w:szCs w:val="15"/>
                <w:color w:val="auto"/>
              </w:rPr>
              <w:t>Short-term</w:t>
            </w:r>
          </w:p>
        </w:tc>
        <w:tc>
          <w:tcPr>
            <w:tcW w:w="5400" w:type="dxa"/>
            <w:vAlign w:val="bottom"/>
          </w:tcPr>
          <w:p>
            <w:pPr>
              <w:jc w:val="right"/>
              <w:ind w:right="190"/>
              <w:spacing w:after="0"/>
              <w:rPr>
                <w:sz w:val="20"/>
                <w:szCs w:val="20"/>
                <w:color w:val="auto"/>
              </w:rPr>
            </w:pPr>
            <w:r>
              <w:rPr>
                <w:rFonts w:ascii="Arial" w:cs="Arial" w:eastAsia="Arial" w:hAnsi="Arial"/>
                <w:sz w:val="15"/>
                <w:szCs w:val="15"/>
                <w:color w:val="auto"/>
              </w:rPr>
              <w:t>Prime-2</w:t>
            </w:r>
          </w:p>
        </w:tc>
        <w:tc>
          <w:tcPr>
            <w:tcW w:w="1080" w:type="dxa"/>
            <w:vAlign w:val="bottom"/>
          </w:tcPr>
          <w:p>
            <w:pPr>
              <w:jc w:val="right"/>
              <w:spacing w:after="0"/>
              <w:rPr>
                <w:sz w:val="20"/>
                <w:szCs w:val="20"/>
                <w:color w:val="auto"/>
              </w:rPr>
            </w:pPr>
            <w:r>
              <w:rPr>
                <w:rFonts w:ascii="Arial" w:cs="Arial" w:eastAsia="Arial" w:hAnsi="Arial"/>
                <w:sz w:val="15"/>
                <w:szCs w:val="15"/>
                <w:color w:val="auto"/>
              </w:rPr>
              <w:t>A-3</w:t>
            </w:r>
          </w:p>
        </w:tc>
      </w:tr>
    </w:tbl>
    <w:p>
      <w:pPr>
        <w:spacing w:after="0" w:line="179"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During the first quarter of 2013 and 2012, the Company had average borrowings outstanding of approximately $516.7 million and $484.5 million, respectively, at average annual interest rates of approximately 7.0%. During the first quarter of 2013 and 2012, the Company incurred net interest expense of $8.5 million and $8.1 million, respectively.</w:t>
      </w:r>
    </w:p>
    <w:p>
      <w:pPr>
        <w:spacing w:after="0" w:line="175"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At March 31, 2013 and December 31, 2012, the Company had working capital of $405.9 million and $327.5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our Credit Agreement. In management’s opinion, the Company will have ample liquidity to meet its various cash needs throughout 2013.</w:t>
      </w:r>
    </w:p>
    <w:p>
      <w:pPr>
        <w:spacing w:after="0" w:line="176" w:lineRule="exact"/>
        <w:rPr>
          <w:sz w:val="20"/>
          <w:szCs w:val="20"/>
          <w:color w:val="auto"/>
        </w:rPr>
      </w:pPr>
    </w:p>
    <w:p>
      <w:pPr>
        <w:ind w:right="460"/>
        <w:spacing w:after="0" w:line="235" w:lineRule="auto"/>
        <w:rPr>
          <w:sz w:val="20"/>
          <w:szCs w:val="20"/>
          <w:color w:val="auto"/>
        </w:rPr>
      </w:pPr>
      <w:r>
        <w:rPr>
          <w:rFonts w:ascii="Arial" w:cs="Arial" w:eastAsia="Arial" w:hAnsi="Arial"/>
          <w:sz w:val="17"/>
          <w:szCs w:val="17"/>
          <w:color w:val="auto"/>
        </w:rPr>
        <w:t>There were no significant changes to the Company’s contractual obligations or other commercial commitments from those disclosed in the Company’s Annual Report on Form 10-K for the year ended December 31, 2012.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2012 Annual Report filed on Form 10-K have not otherwise changed significantly.</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31, 2013.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97"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March 31, 2013 that has materially affected, or is reasonably likely to materially affect, the Company’s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30" w:name="page31"/>
    <w:bookmarkEnd w:id="30"/>
    <w:p>
      <w:pPr>
        <w:ind w:left="4501"/>
        <w:spacing w:after="0"/>
        <w:rPr>
          <w:sz w:val="20"/>
          <w:szCs w:val="20"/>
          <w:color w:val="auto"/>
        </w:rPr>
      </w:pPr>
      <w:r>
        <w:rPr>
          <w:rFonts w:ascii="Arial" w:cs="Arial" w:eastAsia="Arial" w:hAnsi="Arial"/>
          <w:sz w:val="17"/>
          <w:szCs w:val="17"/>
          <w:b w:val="1"/>
          <w:bCs w:val="1"/>
          <w:color w:val="auto"/>
        </w:rPr>
        <w:t>PART II. OTHER INFORMATION</w:t>
      </w:r>
    </w:p>
    <w:p>
      <w:pPr>
        <w:spacing w:after="0" w:line="177" w:lineRule="exact"/>
        <w:rPr>
          <w:sz w:val="20"/>
          <w:szCs w:val="20"/>
          <w:color w:val="auto"/>
        </w:rPr>
      </w:pPr>
    </w:p>
    <w:p>
      <w:pPr>
        <w:ind w:left="1"/>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color w:val="auto"/>
        </w:rPr>
        <w:t>During the quarter ended March 31, 2013, the Company purchased shares of its Class B Common Stock as set forth in the following table:</w:t>
      </w:r>
    </w:p>
    <w:p>
      <w:pPr>
        <w:spacing w:after="0" w:line="28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jc w:val="center"/>
              <w:ind w:right="532"/>
              <w:spacing w:after="0"/>
              <w:rPr>
                <w:sz w:val="20"/>
                <w:szCs w:val="20"/>
                <w:color w:val="auto"/>
              </w:rPr>
            </w:pPr>
            <w:r>
              <w:rPr>
                <w:rFonts w:ascii="Arial" w:cs="Arial" w:eastAsia="Arial" w:hAnsi="Arial"/>
                <w:sz w:val="12"/>
                <w:szCs w:val="12"/>
                <w:b w:val="1"/>
                <w:bCs w:val="1"/>
                <w:color w:val="auto"/>
              </w:rPr>
              <w:t>Average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rPr>
              <w:t>Total Number of</w:t>
            </w:r>
          </w:p>
        </w:tc>
        <w:tc>
          <w:tcPr>
            <w:tcW w:w="2260" w:type="dxa"/>
            <w:vAlign w:val="bottom"/>
          </w:tcPr>
          <w:p>
            <w:pPr>
              <w:jc w:val="center"/>
              <w:ind w:left="313"/>
              <w:spacing w:after="0"/>
              <w:rPr>
                <w:sz w:val="20"/>
                <w:szCs w:val="20"/>
                <w:color w:val="auto"/>
              </w:rPr>
            </w:pPr>
            <w:r>
              <w:rPr>
                <w:rFonts w:ascii="Arial" w:cs="Arial" w:eastAsia="Arial" w:hAnsi="Arial"/>
                <w:sz w:val="12"/>
                <w:szCs w:val="12"/>
                <w:b w:val="1"/>
                <w:bCs w:val="1"/>
                <w:color w:val="auto"/>
              </w:rPr>
              <w:t>Maximum Number</w:t>
            </w:r>
          </w:p>
        </w:tc>
      </w:tr>
      <w:tr>
        <w:trPr>
          <w:trHeight w:val="137"/>
        </w:trPr>
        <w:tc>
          <w:tcPr>
            <w:tcW w:w="446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Total Number</w:t>
            </w:r>
          </w:p>
        </w:tc>
        <w:tc>
          <w:tcPr>
            <w:tcW w:w="620" w:type="dxa"/>
            <w:vAlign w:val="bottom"/>
          </w:tcPr>
          <w:p>
            <w:pPr>
              <w:spacing w:after="0"/>
              <w:rPr>
                <w:sz w:val="11"/>
                <w:szCs w:val="11"/>
                <w:color w:val="auto"/>
              </w:rPr>
            </w:pPr>
          </w:p>
        </w:tc>
        <w:tc>
          <w:tcPr>
            <w:tcW w:w="1200" w:type="dxa"/>
            <w:vAlign w:val="bottom"/>
          </w:tcPr>
          <w:p>
            <w:pPr>
              <w:jc w:val="center"/>
              <w:ind w:right="552"/>
              <w:spacing w:after="0" w:line="137" w:lineRule="exact"/>
              <w:rPr>
                <w:sz w:val="20"/>
                <w:szCs w:val="20"/>
                <w:color w:val="auto"/>
              </w:rPr>
            </w:pPr>
            <w:r>
              <w:rPr>
                <w:rFonts w:ascii="Arial" w:cs="Arial" w:eastAsia="Arial" w:hAnsi="Arial"/>
                <w:sz w:val="12"/>
                <w:szCs w:val="12"/>
                <w:b w:val="1"/>
                <w:bCs w:val="1"/>
                <w:color w:val="auto"/>
              </w:rPr>
              <w:t>Price</w:t>
            </w:r>
          </w:p>
        </w:tc>
        <w:tc>
          <w:tcPr>
            <w:tcW w:w="16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Shares Purchased</w:t>
            </w:r>
          </w:p>
        </w:tc>
        <w:tc>
          <w:tcPr>
            <w:tcW w:w="2260" w:type="dxa"/>
            <w:vAlign w:val="bottom"/>
          </w:tcPr>
          <w:p>
            <w:pPr>
              <w:jc w:val="center"/>
              <w:ind w:left="273"/>
              <w:spacing w:after="0" w:line="137" w:lineRule="exact"/>
              <w:rPr>
                <w:sz w:val="20"/>
                <w:szCs w:val="20"/>
                <w:color w:val="auto"/>
              </w:rPr>
            </w:pPr>
            <w:r>
              <w:rPr>
                <w:rFonts w:ascii="Arial" w:cs="Arial" w:eastAsia="Arial" w:hAnsi="Arial"/>
                <w:sz w:val="12"/>
                <w:szCs w:val="12"/>
                <w:b w:val="1"/>
                <w:bCs w:val="1"/>
                <w:color w:val="auto"/>
              </w:rPr>
              <w:t>of Shares That May</w:t>
            </w:r>
          </w:p>
        </w:tc>
      </w:tr>
      <w:tr>
        <w:trPr>
          <w:trHeight w:val="137"/>
        </w:trPr>
        <w:tc>
          <w:tcPr>
            <w:tcW w:w="446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of Shares</w:t>
            </w:r>
          </w:p>
        </w:tc>
        <w:tc>
          <w:tcPr>
            <w:tcW w:w="620" w:type="dxa"/>
            <w:vAlign w:val="bottom"/>
          </w:tcPr>
          <w:p>
            <w:pPr>
              <w:spacing w:after="0"/>
              <w:rPr>
                <w:sz w:val="11"/>
                <w:szCs w:val="11"/>
                <w:color w:val="auto"/>
              </w:rPr>
            </w:pPr>
          </w:p>
        </w:tc>
        <w:tc>
          <w:tcPr>
            <w:tcW w:w="1200" w:type="dxa"/>
            <w:vAlign w:val="bottom"/>
          </w:tcPr>
          <w:p>
            <w:pPr>
              <w:jc w:val="center"/>
              <w:ind w:right="532"/>
              <w:spacing w:after="0" w:line="137" w:lineRule="exact"/>
              <w:rPr>
                <w:sz w:val="20"/>
                <w:szCs w:val="20"/>
                <w:color w:val="auto"/>
              </w:rPr>
            </w:pPr>
            <w:r>
              <w:rPr>
                <w:rFonts w:ascii="Arial" w:cs="Arial" w:eastAsia="Arial" w:hAnsi="Arial"/>
                <w:sz w:val="12"/>
                <w:szCs w:val="12"/>
                <w:b w:val="1"/>
                <w:bCs w:val="1"/>
                <w:color w:val="auto"/>
              </w:rPr>
              <w:t>Paid per</w:t>
            </w:r>
          </w:p>
        </w:tc>
        <w:tc>
          <w:tcPr>
            <w:tcW w:w="16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as Part of a Publicly</w:t>
            </w:r>
          </w:p>
        </w:tc>
        <w:tc>
          <w:tcPr>
            <w:tcW w:w="2260" w:type="dxa"/>
            <w:vAlign w:val="bottom"/>
          </w:tcPr>
          <w:p>
            <w:pPr>
              <w:jc w:val="center"/>
              <w:ind w:left="273"/>
              <w:spacing w:after="0" w:line="137" w:lineRule="exact"/>
              <w:rPr>
                <w:sz w:val="20"/>
                <w:szCs w:val="20"/>
                <w:color w:val="auto"/>
              </w:rPr>
            </w:pPr>
            <w:r>
              <w:rPr>
                <w:rFonts w:ascii="Arial" w:cs="Arial" w:eastAsia="Arial" w:hAnsi="Arial"/>
                <w:sz w:val="12"/>
                <w:szCs w:val="12"/>
                <w:b w:val="1"/>
                <w:bCs w:val="1"/>
                <w:color w:val="auto"/>
              </w:rPr>
              <w:t>Yet Be Purchased</w:t>
            </w:r>
          </w:p>
        </w:tc>
      </w:tr>
      <w:tr>
        <w:trPr>
          <w:trHeight w:val="151"/>
        </w:trPr>
        <w:tc>
          <w:tcPr>
            <w:tcW w:w="4460" w:type="dxa"/>
            <w:vAlign w:val="bottom"/>
          </w:tcPr>
          <w:p>
            <w:pPr>
              <w:spacing w:after="0"/>
              <w:rPr>
                <w:sz w:val="20"/>
                <w:szCs w:val="20"/>
                <w:color w:val="auto"/>
              </w:rPr>
            </w:pPr>
            <w:r>
              <w:rPr>
                <w:rFonts w:ascii="Arial" w:cs="Arial" w:eastAsia="Arial" w:hAnsi="Arial"/>
                <w:sz w:val="12"/>
                <w:szCs w:val="12"/>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6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552"/>
              <w:spacing w:after="0"/>
              <w:rPr>
                <w:sz w:val="20"/>
                <w:szCs w:val="20"/>
                <w:color w:val="auto"/>
              </w:rPr>
            </w:pPr>
            <w:r>
              <w:rPr>
                <w:rFonts w:ascii="Arial" w:cs="Arial" w:eastAsia="Arial" w:hAnsi="Arial"/>
                <w:sz w:val="12"/>
                <w:szCs w:val="12"/>
                <w:b w:val="1"/>
                <w:bCs w:val="1"/>
                <w:color w:val="auto"/>
              </w:rPr>
              <w:t>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Announced Plan*</w:t>
            </w:r>
          </w:p>
        </w:tc>
        <w:tc>
          <w:tcPr>
            <w:tcW w:w="2260" w:type="dxa"/>
            <w:vAlign w:val="bottom"/>
            <w:tcBorders>
              <w:bottom w:val="single" w:sz="8" w:color="auto"/>
            </w:tcBorders>
          </w:tcPr>
          <w:p>
            <w:pPr>
              <w:jc w:val="center"/>
              <w:ind w:left="273"/>
              <w:spacing w:after="0"/>
              <w:rPr>
                <w:sz w:val="20"/>
                <w:szCs w:val="20"/>
                <w:color w:val="auto"/>
              </w:rPr>
            </w:pPr>
            <w:r>
              <w:rPr>
                <w:rFonts w:ascii="Arial" w:cs="Arial" w:eastAsia="Arial" w:hAnsi="Arial"/>
                <w:sz w:val="12"/>
                <w:szCs w:val="12"/>
                <w:b w:val="1"/>
                <w:bCs w:val="1"/>
                <w:color w:val="auto"/>
              </w:rPr>
              <w:t>Under the Plan*</w:t>
            </w:r>
          </w:p>
        </w:tc>
      </w:tr>
      <w:tr>
        <w:trPr>
          <w:trHeight w:val="131"/>
        </w:trPr>
        <w:tc>
          <w:tcPr>
            <w:tcW w:w="4460" w:type="dxa"/>
            <w:vAlign w:val="bottom"/>
          </w:tcPr>
          <w:p>
            <w:pPr>
              <w:spacing w:after="0" w:line="131" w:lineRule="exact"/>
              <w:rPr>
                <w:sz w:val="20"/>
                <w:szCs w:val="20"/>
                <w:color w:val="auto"/>
              </w:rPr>
            </w:pPr>
            <w:r>
              <w:rPr>
                <w:rFonts w:ascii="Arial" w:cs="Arial" w:eastAsia="Arial" w:hAnsi="Arial"/>
                <w:sz w:val="12"/>
                <w:szCs w:val="12"/>
                <w:b w:val="1"/>
                <w:bCs w:val="1"/>
                <w:color w:val="auto"/>
              </w:rPr>
              <w:t>2013</w:t>
            </w: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January</w:t>
            </w:r>
          </w:p>
        </w:tc>
        <w:tc>
          <w:tcPr>
            <w:tcW w:w="1280" w:type="dxa"/>
            <w:vAlign w:val="bottom"/>
          </w:tcPr>
          <w:p>
            <w:pPr>
              <w:jc w:val="right"/>
              <w:spacing w:after="0"/>
              <w:rPr>
                <w:sz w:val="20"/>
                <w:szCs w:val="20"/>
                <w:color w:val="auto"/>
              </w:rPr>
            </w:pPr>
            <w:r>
              <w:rPr>
                <w:rFonts w:ascii="Arial" w:cs="Arial" w:eastAsia="Arial" w:hAnsi="Arial"/>
                <w:sz w:val="15"/>
                <w:szCs w:val="15"/>
                <w:color w:val="auto"/>
              </w:rPr>
              <w:t>11,250</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92"/>
              <w:spacing w:after="0"/>
              <w:rPr>
                <w:sz w:val="20"/>
                <w:szCs w:val="20"/>
                <w:color w:val="auto"/>
              </w:rPr>
            </w:pPr>
            <w:r>
              <w:rPr>
                <w:rFonts w:ascii="Arial" w:cs="Arial" w:eastAsia="Arial" w:hAnsi="Arial"/>
                <w:sz w:val="15"/>
                <w:szCs w:val="15"/>
                <w:color w:val="auto"/>
              </w:rPr>
              <w:t>373.03</w:t>
            </w:r>
          </w:p>
        </w:tc>
        <w:tc>
          <w:tcPr>
            <w:tcW w:w="1600" w:type="dxa"/>
            <w:vAlign w:val="bottom"/>
          </w:tcPr>
          <w:p>
            <w:pPr>
              <w:ind w:left="1400"/>
              <w:spacing w:after="0"/>
              <w:rPr>
                <w:sz w:val="20"/>
                <w:szCs w:val="20"/>
                <w:color w:val="auto"/>
              </w:rPr>
            </w:pPr>
            <w:r>
              <w:rPr>
                <w:rFonts w:ascii="Arial" w:cs="Arial" w:eastAsia="Arial" w:hAnsi="Arial"/>
                <w:sz w:val="15"/>
                <w:szCs w:val="15"/>
                <w:color w:val="auto"/>
              </w:rPr>
              <w:t>―</w:t>
            </w:r>
          </w:p>
        </w:tc>
        <w:tc>
          <w:tcPr>
            <w:tcW w:w="2260" w:type="dxa"/>
            <w:vAlign w:val="bottom"/>
          </w:tcPr>
          <w:p>
            <w:pPr>
              <w:jc w:val="right"/>
              <w:spacing w:after="0"/>
              <w:rPr>
                <w:sz w:val="20"/>
                <w:szCs w:val="20"/>
                <w:color w:val="auto"/>
              </w:rPr>
            </w:pPr>
            <w:r>
              <w:rPr>
                <w:rFonts w:ascii="Arial" w:cs="Arial" w:eastAsia="Arial" w:hAnsi="Arial"/>
                <w:sz w:val="15"/>
                <w:szCs w:val="15"/>
                <w:color w:val="auto"/>
              </w:rPr>
              <w:t>180,993</w:t>
            </w:r>
          </w:p>
        </w:tc>
      </w:tr>
      <w:tr>
        <w:trPr>
          <w:trHeight w:val="174"/>
        </w:trPr>
        <w:tc>
          <w:tcPr>
            <w:tcW w:w="4460" w:type="dxa"/>
            <w:vAlign w:val="bottom"/>
          </w:tcPr>
          <w:p>
            <w:pPr>
              <w:spacing w:after="0"/>
              <w:rPr>
                <w:sz w:val="20"/>
                <w:szCs w:val="20"/>
                <w:color w:val="auto"/>
              </w:rPr>
            </w:pPr>
            <w:r>
              <w:rPr>
                <w:rFonts w:ascii="Arial" w:cs="Arial" w:eastAsia="Arial" w:hAnsi="Arial"/>
                <w:sz w:val="15"/>
                <w:szCs w:val="15"/>
                <w:color w:val="auto"/>
              </w:rPr>
              <w:t>February</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1200" w:type="dxa"/>
            <w:vAlign w:val="bottom"/>
          </w:tcPr>
          <w:p>
            <w:pPr>
              <w:jc w:val="right"/>
              <w:ind w:right="292"/>
              <w:spacing w:after="0"/>
              <w:rPr>
                <w:sz w:val="20"/>
                <w:szCs w:val="20"/>
                <w:color w:val="auto"/>
              </w:rPr>
            </w:pPr>
            <w:r>
              <w:rPr>
                <w:rFonts w:ascii="Arial" w:cs="Arial" w:eastAsia="Arial" w:hAnsi="Arial"/>
                <w:sz w:val="15"/>
                <w:szCs w:val="15"/>
                <w:color w:val="auto"/>
              </w:rPr>
              <w:t>―</w:t>
            </w:r>
          </w:p>
        </w:tc>
        <w:tc>
          <w:tcPr>
            <w:tcW w:w="1600" w:type="dxa"/>
            <w:vAlign w:val="bottom"/>
          </w:tcPr>
          <w:p>
            <w:pPr>
              <w:ind w:left="1400"/>
              <w:spacing w:after="0"/>
              <w:rPr>
                <w:sz w:val="20"/>
                <w:szCs w:val="20"/>
                <w:color w:val="auto"/>
              </w:rPr>
            </w:pPr>
            <w:r>
              <w:rPr>
                <w:rFonts w:ascii="Arial" w:cs="Arial" w:eastAsia="Arial" w:hAnsi="Arial"/>
                <w:sz w:val="15"/>
                <w:szCs w:val="15"/>
                <w:color w:val="auto"/>
              </w:rPr>
              <w:t>―</w:t>
            </w:r>
          </w:p>
        </w:tc>
        <w:tc>
          <w:tcPr>
            <w:tcW w:w="2260" w:type="dxa"/>
            <w:vAlign w:val="bottom"/>
          </w:tcPr>
          <w:p>
            <w:pPr>
              <w:jc w:val="right"/>
              <w:spacing w:after="0"/>
              <w:rPr>
                <w:sz w:val="20"/>
                <w:szCs w:val="20"/>
                <w:color w:val="auto"/>
              </w:rPr>
            </w:pPr>
            <w:r>
              <w:rPr>
                <w:rFonts w:ascii="Arial" w:cs="Arial" w:eastAsia="Arial" w:hAnsi="Arial"/>
                <w:sz w:val="15"/>
                <w:szCs w:val="15"/>
                <w:color w:val="auto"/>
              </w:rPr>
              <w:t>180,993</w:t>
            </w:r>
          </w:p>
        </w:tc>
      </w:tr>
      <w:tr>
        <w:trPr>
          <w:trHeight w:val="172"/>
        </w:trPr>
        <w:tc>
          <w:tcPr>
            <w:tcW w:w="4460" w:type="dxa"/>
            <w:vAlign w:val="bottom"/>
          </w:tcPr>
          <w:p>
            <w:pPr>
              <w:spacing w:after="0"/>
              <w:rPr>
                <w:sz w:val="20"/>
                <w:szCs w:val="20"/>
                <w:color w:val="auto"/>
              </w:rPr>
            </w:pPr>
            <w:r>
              <w:rPr>
                <w:rFonts w:ascii="Arial" w:cs="Arial" w:eastAsia="Arial" w:hAnsi="Arial"/>
                <w:sz w:val="15"/>
                <w:szCs w:val="15"/>
                <w:color w:val="auto"/>
              </w:rPr>
              <w:t>March</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1200" w:type="dxa"/>
            <w:vAlign w:val="bottom"/>
          </w:tcPr>
          <w:p>
            <w:pPr>
              <w:jc w:val="right"/>
              <w:ind w:right="292"/>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w:t>
            </w:r>
          </w:p>
        </w:tc>
        <w:tc>
          <w:tcPr>
            <w:tcW w:w="2260" w:type="dxa"/>
            <w:vAlign w:val="bottom"/>
          </w:tcPr>
          <w:p>
            <w:pPr>
              <w:jc w:val="right"/>
              <w:spacing w:after="0"/>
              <w:rPr>
                <w:sz w:val="20"/>
                <w:szCs w:val="20"/>
                <w:color w:val="auto"/>
              </w:rPr>
            </w:pPr>
            <w:r>
              <w:rPr>
                <w:rFonts w:ascii="Arial" w:cs="Arial" w:eastAsia="Arial" w:hAnsi="Arial"/>
                <w:sz w:val="15"/>
                <w:szCs w:val="15"/>
                <w:color w:val="auto"/>
              </w:rPr>
              <w:t>180,993</w:t>
            </w:r>
          </w:p>
        </w:tc>
      </w:tr>
      <w:tr>
        <w:trPr>
          <w:trHeight w:val="173"/>
        </w:trPr>
        <w:tc>
          <w:tcPr>
            <w:tcW w:w="4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11,250</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92"/>
              <w:spacing w:after="0"/>
              <w:rPr>
                <w:sz w:val="20"/>
                <w:szCs w:val="20"/>
                <w:color w:val="auto"/>
              </w:rPr>
            </w:pPr>
            <w:r>
              <w:rPr>
                <w:rFonts w:ascii="Arial" w:cs="Arial" w:eastAsia="Arial" w:hAnsi="Arial"/>
                <w:sz w:val="15"/>
                <w:szCs w:val="15"/>
                <w:color w:val="auto"/>
              </w:rPr>
              <w:t>373.03</w:t>
            </w:r>
          </w:p>
        </w:tc>
        <w:tc>
          <w:tcPr>
            <w:tcW w:w="1600" w:type="dxa"/>
            <w:vAlign w:val="bottom"/>
          </w:tcPr>
          <w:p>
            <w:pPr>
              <w:ind w:left="1400"/>
              <w:spacing w:after="0"/>
              <w:rPr>
                <w:sz w:val="20"/>
                <w:szCs w:val="20"/>
                <w:color w:val="auto"/>
              </w:rPr>
            </w:pPr>
            <w:r>
              <w:rPr>
                <w:rFonts w:ascii="Arial" w:cs="Arial" w:eastAsia="Arial" w:hAnsi="Arial"/>
                <w:sz w:val="15"/>
                <w:szCs w:val="15"/>
                <w:color w:val="auto"/>
              </w:rPr>
              <w:t>―</w:t>
            </w:r>
          </w:p>
        </w:tc>
        <w:tc>
          <w:tcPr>
            <w:tcW w:w="2260" w:type="dxa"/>
            <w:vAlign w:val="bottom"/>
          </w:tcPr>
          <w:p>
            <w:pPr>
              <w:spacing w:after="0"/>
              <w:rPr>
                <w:sz w:val="15"/>
                <w:szCs w:val="15"/>
                <w:color w:val="auto"/>
              </w:rPr>
            </w:pPr>
          </w:p>
        </w:tc>
      </w:tr>
    </w:tbl>
    <w:p>
      <w:pPr>
        <w:spacing w:after="0" w:line="179" w:lineRule="exact"/>
        <w:rPr>
          <w:sz w:val="20"/>
          <w:szCs w:val="20"/>
          <w:color w:val="auto"/>
        </w:rPr>
      </w:pPr>
    </w:p>
    <w:p>
      <w:pPr>
        <w:ind w:left="201" w:hanging="201"/>
        <w:spacing w:after="0" w:line="231"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September 8, 2011, the Company’s Board of Directors authorized the Company to purchase, on the open market or otherwise, up to 750,000 shares of its Class B Common Stock. There is no expiration date for that authorization. In the first quarter of 2013, 11,250 shares were purchased from recipients of vested awards of restricted shares at market price. Under the Company’s Incentive Compensation Plan, the Compensation Committee may permit the recipient of a vested award of restricted shares of the Company’s Class B Common Stock to receive some or all of the value of the award in cash rather than in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837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789"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7"/>
        </w:trPr>
        <w:tc>
          <w:tcPr>
            <w:tcW w:w="8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10560" w:type="dxa"/>
            <w:vAlign w:val="bottom"/>
            <w:gridSpan w:val="3"/>
          </w:tcPr>
          <w:p>
            <w:pPr>
              <w:ind w:left="10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478"/>
        </w:trPr>
        <w:tc>
          <w:tcPr>
            <w:tcW w:w="86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vMerge w:val="restart"/>
          </w:tcPr>
          <w:p>
            <w:pPr>
              <w:ind w:left="472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860" w:type="dxa"/>
            <w:vAlign w:val="bottom"/>
          </w:tcPr>
          <w:p>
            <w:pPr>
              <w:ind w:left="160"/>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Restated Certificate of Incorporation of the Company dated November 13, 2003 (incorporated by reference to Exhibit 3.1 to the Company’s Annual Report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on Form 10-K for the fiscal year ended December 28, 2003).</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Certificate of Designation for the Company’s Series A Preferred Stock dated September 22, 2003 (incorporated by reference to Exhibit 3.2 to Amendment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No. 1 to the Company’s Current Report on Form 8-K dated September 22, 2003).</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By-Laws of the Company as amended and restated through November 8, 2007 (incorporated by reference to Exhibit 3.1 to the Company’s Current Report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on Form 8-K dated November 14, 2007).</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Second Supplemental Indenture dated January 30, 2009, between the Company and The Bank of New York Mellon Trust Company, N.A., as successor to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w w:val="99"/>
              </w:rPr>
              <w:t>The First National Bank of Chicago, as Trustee (incorporated by reference to Exhibit 10.2 to the Company’s Current Report on Form 8-K dated January 30,</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0560" w:type="dxa"/>
            <w:vAlign w:val="bottom"/>
            <w:gridSpan w:val="3"/>
          </w:tcPr>
          <w:p>
            <w:pPr>
              <w:ind w:left="280"/>
              <w:spacing w:after="0"/>
              <w:rPr>
                <w:sz w:val="20"/>
                <w:szCs w:val="20"/>
                <w:color w:val="auto"/>
              </w:rPr>
            </w:pPr>
            <w:r>
              <w:rPr>
                <w:rFonts w:ascii="Arial" w:cs="Arial" w:eastAsia="Arial" w:hAnsi="Arial"/>
                <w:sz w:val="15"/>
                <w:szCs w:val="15"/>
                <w:color w:val="auto"/>
              </w:rPr>
              <w:t>2009).</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Four Year Credit Agreement, dated as of June 17, 2011, among the Company, JPMorgan Chase Bank, N.A., J.P. Morgan Australia Limited, Wells Fargo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Bank, N.A., The Royal Bank of Scotland PLC, HSBC Bank USA, National Association, The Bank of New York Mellon, PNC Bank, National Association,</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Bank of America, N.A., Citibank, N.A. and The Northern Trust Company (incorporated by reference to Exhibit 10.1 to the Company’s Current Report 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Form 8-K dated June 17, 2011).</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31.1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Executive Officer.</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140" w:right="40" w:hanging="975"/>
        <w:spacing w:after="0" w:line="242" w:lineRule="auto"/>
        <w:tabs>
          <w:tab w:leader="none" w:pos="11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following financial information from The Washington Post Company Quarterly Report on Form 10-Q for the period ended March 31, 2013, formatted in Extensible Business Reporting Language (XBRL): (i) Condensed Consolidated Statements of Operations for the Three Months Ended March 31, 2013 and 2012, (ii) Condensed Consolidated Statements of Comprehensive Income for the Three Months Ended March 31, 2013 and 2012, (iii) Condensed Consolidated Balance Sheets as of March 31, 2013 and December 31, 2012, (iv) Condensed Consolidated Statements of Cash Flows for the Three Months Ended March 31, 2013 and 2012,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ind w:right="-439"/>
        <w:spacing w:after="0"/>
        <w:rPr>
          <w:sz w:val="20"/>
          <w:szCs w:val="20"/>
          <w:color w:val="auto"/>
        </w:rPr>
      </w:pPr>
      <w:r>
        <w:rPr>
          <w:rFonts w:ascii="Arial" w:cs="Arial" w:eastAsia="Arial" w:hAnsi="Arial"/>
          <w:sz w:val="20"/>
          <w:szCs w:val="20"/>
          <w:b w:val="1"/>
          <w:bCs w:val="1"/>
          <w:color w:val="auto"/>
        </w:rPr>
        <w:t>SIGNATURES</w:t>
      </w:r>
    </w:p>
    <w:p>
      <w:pPr>
        <w:spacing w:after="0" w:line="172" w:lineRule="exact"/>
        <w:rPr>
          <w:sz w:val="20"/>
          <w:szCs w:val="20"/>
          <w:color w:val="auto"/>
        </w:rPr>
      </w:pPr>
    </w:p>
    <w:p>
      <w:pPr>
        <w:ind w:right="48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left="7680"/>
        <w:spacing w:after="0"/>
        <w:rPr>
          <w:sz w:val="20"/>
          <w:szCs w:val="20"/>
          <w:color w:val="auto"/>
        </w:rPr>
      </w:pPr>
      <w:r>
        <w:rPr>
          <w:rFonts w:ascii="Arial" w:cs="Arial" w:eastAsia="Arial" w:hAnsi="Arial"/>
          <w:sz w:val="16"/>
          <w:szCs w:val="16"/>
          <w:color w:val="auto"/>
        </w:rPr>
        <w:t>THE WASHINGTON POST COMPANY</w:t>
      </w:r>
    </w:p>
    <w:p>
      <w:pPr>
        <w:spacing w:after="0" w:line="2" w:lineRule="exact"/>
        <w:rPr>
          <w:sz w:val="20"/>
          <w:szCs w:val="20"/>
          <w:color w:val="auto"/>
        </w:rPr>
      </w:pPr>
    </w:p>
    <w:p>
      <w:pPr>
        <w:jc w:val="center"/>
        <w:ind w:left="7680"/>
        <w:spacing w:after="0"/>
        <w:rPr>
          <w:sz w:val="20"/>
          <w:szCs w:val="20"/>
          <w:color w:val="auto"/>
        </w:rPr>
      </w:pPr>
      <w:r>
        <w:rPr>
          <w:rFonts w:ascii="Arial" w:cs="Arial" w:eastAsia="Arial" w:hAnsi="Arial"/>
          <w:sz w:val="17"/>
          <w:szCs w:val="17"/>
          <w:color w:val="auto"/>
        </w:rPr>
        <w:t>(Registrant)</w:t>
      </w:r>
    </w:p>
    <w:p>
      <w:pPr>
        <w:spacing w:after="0" w:line="226" w:lineRule="exact"/>
        <w:rPr>
          <w:sz w:val="20"/>
          <w:szCs w:val="20"/>
          <w:color w:val="auto"/>
        </w:rPr>
      </w:pPr>
    </w:p>
    <w:p>
      <w:pPr>
        <w:spacing w:after="0"/>
        <w:tabs>
          <w:tab w:leader="none" w:pos="8740" w:val="left"/>
        </w:tabs>
        <w:rPr>
          <w:sz w:val="20"/>
          <w:szCs w:val="20"/>
          <w:color w:val="auto"/>
        </w:rPr>
      </w:pPr>
      <w:r>
        <w:rPr>
          <w:rFonts w:ascii="Arial" w:cs="Arial" w:eastAsia="Arial" w:hAnsi="Arial"/>
          <w:sz w:val="17"/>
          <w:szCs w:val="17"/>
          <w:color w:val="auto"/>
        </w:rPr>
        <w:t>Date: May 7, 2013</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-5080</wp:posOffset>
            </wp:positionV>
            <wp:extent cx="23876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84"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Donald E. Graham,</w:t>
      </w:r>
    </w:p>
    <w:p>
      <w:pPr>
        <w:spacing w:after="0" w:line="15"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Chairman &amp; Chief Executive Officer</w:t>
      </w:r>
    </w:p>
    <w:p>
      <w:pPr>
        <w:jc w:val="center"/>
        <w:ind w:left="7680"/>
        <w:spacing w:after="0"/>
        <w:rPr>
          <w:sz w:val="20"/>
          <w:szCs w:val="20"/>
          <w:color w:val="auto"/>
        </w:rPr>
      </w:pPr>
      <w:r>
        <w:rPr>
          <w:rFonts w:ascii="Arial" w:cs="Arial" w:eastAsia="Arial" w:hAnsi="Arial"/>
          <w:sz w:val="13"/>
          <w:szCs w:val="13"/>
          <w:b w:val="1"/>
          <w:bCs w:val="1"/>
          <w:color w:val="auto"/>
        </w:rPr>
        <w:t>(Principal Executive Officer)</w:t>
      </w:r>
    </w:p>
    <w:p>
      <w:pPr>
        <w:spacing w:after="0" w:line="230"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Date: May 7, 2013</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-5080</wp:posOffset>
            </wp:positionV>
            <wp:extent cx="23876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84"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Hal S. Jones,</w:t>
      </w:r>
    </w:p>
    <w:p>
      <w:pPr>
        <w:spacing w:after="0" w:line="15"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Senior Vice President-Finance</w:t>
      </w:r>
    </w:p>
    <w:p>
      <w:pPr>
        <w:jc w:val="center"/>
        <w:ind w:left="7680"/>
        <w:spacing w:after="0"/>
        <w:rPr>
          <w:sz w:val="20"/>
          <w:szCs w:val="20"/>
          <w:color w:val="auto"/>
        </w:rPr>
      </w:pPr>
      <w:r>
        <w:rPr>
          <w:rFonts w:ascii="Arial" w:cs="Arial" w:eastAsia="Arial" w:hAnsi="Arial"/>
          <w:sz w:val="13"/>
          <w:szCs w:val="13"/>
          <w:b w:val="1"/>
          <w:bCs w:val="1"/>
          <w:color w:val="auto"/>
        </w:rPr>
        <w:t>(Principal Financial Officer)</w:t>
      </w: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80"/>
          </w:cols>
          <w:pgMar w:left="240" w:top="110" w:right="67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5347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May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473075</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0566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May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473075</wp:posOffset>
            </wp:positionV>
            <wp:extent cx="727837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In connection with the Quarterly Report of The Washington Post Company (the “Company”) on Form 10-Q for the period ended March 31, 2013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8" w:lineRule="exact"/>
        <w:rPr>
          <w:sz w:val="20"/>
          <w:szCs w:val="20"/>
          <w:color w:val="auto"/>
        </w:rPr>
      </w:pPr>
    </w:p>
    <w:p>
      <w:pPr>
        <w:ind w:left="249" w:hanging="249"/>
        <w:spacing w:after="0"/>
        <w:tabs>
          <w:tab w:leader="none" w:pos="2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71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716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May 7, 2013</w:t>
      </w:r>
    </w:p>
    <w:p>
      <w:pPr>
        <w:spacing w:after="0" w:line="32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0652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May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362585</wp:posOffset>
            </wp:positionV>
            <wp:extent cx="7278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decimal"/>
      <w:start w:val="387"/>
    </w:lvl>
  </w:abstractNum>
  <w:abstractNum w:abstractNumId="3">
    <w:nsid w:val="12200854"/>
    <w:multiLevelType w:val="hybridMultilevel"/>
    <w:lvl w:ilvl="0">
      <w:lvlJc w:val="left"/>
      <w:lvlText w:val="(%1)"/>
      <w:numFmt w:val="decimal"/>
      <w:start w:val="700"/>
    </w:lvl>
  </w:abstractNum>
  <w:abstractNum w:abstractNumId="4">
    <w:nsid w:val="4DB127F8"/>
    <w:multiLevelType w:val="hybridMultilevel"/>
    <w:lvl w:ilvl="0">
      <w:lvlJc w:val="left"/>
      <w:lvlText w:val="(%1)"/>
      <w:numFmt w:val="decimal"/>
      <w:start w:val="18"/>
    </w:lvl>
  </w:abstractNum>
  <w:abstractNum w:abstractNumId="5">
    <w:nsid w:val="216231B"/>
    <w:multiLevelType w:val="hybridMultilevel"/>
    <w:lvl w:ilvl="0">
      <w:lvlJc w:val="left"/>
      <w:lvlText w:val="(%1)"/>
      <w:numFmt w:val="decimal"/>
      <w:start w:val="22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lvl w:ilvl="1">
      <w:lvlJc w:val="left"/>
      <w:lvlText w:val="%2."/>
      <w:numFmt w:val="decimal"/>
      <w:start w:val="1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2019-12-05T16:48:58Z</dcterms:created>
  <dcterms:modified xsi:type="dcterms:W3CDTF">2019-12-05T16:48:58Z</dcterms:modified>
</cp:coreProperties>
</file>