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Washington, D.C. 20549</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SD</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Graham Holdings Company</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2"/>
              </w:rPr>
              <w:t>Delaware</w:t>
            </w: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1"/>
              </w:rPr>
              <w:t>1-6714</w:t>
            </w:r>
          </w:p>
        </w:tc>
        <w:tc>
          <w:tcPr>
            <w:tcW w:w="3480" w:type="dxa"/>
            <w:vAlign w:val="bottom"/>
            <w:tcBorders>
              <w:bottom w:val="single" w:sz="8" w:color="auto"/>
            </w:tcBorders>
          </w:tcPr>
          <w:p>
            <w:pPr>
              <w:jc w:val="right"/>
              <w:ind w:right="1113"/>
              <w:spacing w:after="0"/>
              <w:rPr>
                <w:sz w:val="20"/>
                <w:szCs w:val="20"/>
                <w:color w:val="auto"/>
              </w:rPr>
            </w:pPr>
            <w:r>
              <w:rPr>
                <w:rFonts w:ascii="Arial" w:cs="Arial" w:eastAsia="Arial" w:hAnsi="Arial"/>
                <w:sz w:val="21"/>
                <w:szCs w:val="21"/>
                <w:color w:val="auto"/>
              </w:rPr>
              <w:t>53-0182885</w:t>
            </w:r>
          </w:p>
        </w:tc>
      </w:tr>
      <w:tr>
        <w:trPr>
          <w:trHeight w:val="273"/>
        </w:trPr>
        <w:tc>
          <w:tcPr>
            <w:tcW w:w="4160" w:type="dxa"/>
            <w:vAlign w:val="bottom"/>
          </w:tcPr>
          <w:p>
            <w:pPr>
              <w:jc w:val="center"/>
              <w:spacing w:after="0"/>
              <w:rPr>
                <w:sz w:val="20"/>
                <w:szCs w:val="20"/>
                <w:color w:val="auto"/>
              </w:rPr>
            </w:pPr>
            <w:r>
              <w:rPr>
                <w:rFonts w:ascii="Arial" w:cs="Arial" w:eastAsia="Arial" w:hAnsi="Arial"/>
                <w:sz w:val="21"/>
                <w:szCs w:val="21"/>
                <w:color w:val="auto"/>
                <w:w w:val="94"/>
              </w:rPr>
              <w:t>(State or other jurisdiction</w:t>
            </w:r>
          </w:p>
        </w:tc>
        <w:tc>
          <w:tcPr>
            <w:tcW w:w="3600" w:type="dxa"/>
            <w:vAlign w:val="bottom"/>
          </w:tcPr>
          <w:p>
            <w:pPr>
              <w:jc w:val="center"/>
              <w:spacing w:after="0"/>
              <w:rPr>
                <w:sz w:val="20"/>
                <w:szCs w:val="20"/>
                <w:color w:val="auto"/>
              </w:rPr>
            </w:pPr>
            <w:r>
              <w:rPr>
                <w:rFonts w:ascii="Arial" w:cs="Arial" w:eastAsia="Arial" w:hAnsi="Arial"/>
                <w:sz w:val="21"/>
                <w:szCs w:val="21"/>
                <w:color w:val="auto"/>
                <w:w w:val="94"/>
              </w:rPr>
              <w:t>(Commission</w:t>
            </w:r>
          </w:p>
        </w:tc>
        <w:tc>
          <w:tcPr>
            <w:tcW w:w="3480" w:type="dxa"/>
            <w:vAlign w:val="bottom"/>
          </w:tcPr>
          <w:p>
            <w:pPr>
              <w:jc w:val="center"/>
              <w:spacing w:after="0"/>
              <w:rPr>
                <w:sz w:val="20"/>
                <w:szCs w:val="20"/>
                <w:color w:val="auto"/>
              </w:rPr>
            </w:pPr>
            <w:r>
              <w:rPr>
                <w:rFonts w:ascii="Arial" w:cs="Arial" w:eastAsia="Arial" w:hAnsi="Arial"/>
                <w:sz w:val="21"/>
                <w:szCs w:val="21"/>
                <w:color w:val="auto"/>
                <w:w w:val="96"/>
              </w:rPr>
              <w:t>(IRS Employer</w:t>
            </w:r>
          </w:p>
        </w:tc>
      </w:tr>
      <w:tr>
        <w:trPr>
          <w:trHeight w:val="287"/>
        </w:trPr>
        <w:tc>
          <w:tcPr>
            <w:tcW w:w="4160" w:type="dxa"/>
            <w:vAlign w:val="bottom"/>
          </w:tcPr>
          <w:p>
            <w:pPr>
              <w:jc w:val="center"/>
              <w:spacing w:after="0"/>
              <w:rPr>
                <w:sz w:val="20"/>
                <w:szCs w:val="20"/>
                <w:color w:val="auto"/>
              </w:rPr>
            </w:pPr>
            <w:r>
              <w:rPr>
                <w:rFonts w:ascii="Arial" w:cs="Arial" w:eastAsia="Arial" w:hAnsi="Arial"/>
                <w:sz w:val="21"/>
                <w:szCs w:val="21"/>
                <w:color w:val="auto"/>
                <w:w w:val="95"/>
              </w:rPr>
              <w:t>of incorporation or organization)</w:t>
            </w:r>
          </w:p>
        </w:tc>
        <w:tc>
          <w:tcPr>
            <w:tcW w:w="3600" w:type="dxa"/>
            <w:vAlign w:val="bottom"/>
          </w:tcPr>
          <w:p>
            <w:pPr>
              <w:jc w:val="center"/>
              <w:spacing w:after="0"/>
              <w:rPr>
                <w:sz w:val="20"/>
                <w:szCs w:val="20"/>
                <w:color w:val="auto"/>
              </w:rPr>
            </w:pPr>
            <w:r>
              <w:rPr>
                <w:rFonts w:ascii="Arial" w:cs="Arial" w:eastAsia="Arial" w:hAnsi="Arial"/>
                <w:sz w:val="21"/>
                <w:szCs w:val="21"/>
                <w:color w:val="auto"/>
                <w:w w:val="95"/>
              </w:rPr>
              <w:t>File Number)</w:t>
            </w:r>
          </w:p>
        </w:tc>
        <w:tc>
          <w:tcPr>
            <w:tcW w:w="3480" w:type="dxa"/>
            <w:vAlign w:val="bottom"/>
          </w:tcPr>
          <w:p>
            <w:pPr>
              <w:jc w:val="center"/>
              <w:spacing w:after="0"/>
              <w:rPr>
                <w:sz w:val="20"/>
                <w:szCs w:val="20"/>
                <w:color w:val="auto"/>
              </w:rPr>
            </w:pPr>
            <w:r>
              <w:rPr>
                <w:rFonts w:ascii="Arial" w:cs="Arial" w:eastAsia="Arial" w:hAnsi="Arial"/>
                <w:sz w:val="21"/>
                <w:szCs w:val="21"/>
                <w:color w:val="auto"/>
                <w:w w:val="97"/>
              </w:rPr>
              <w:t>Identification No.)</w:t>
            </w:r>
          </w:p>
        </w:tc>
      </w:tr>
      <w:tr>
        <w:trPr>
          <w:trHeight w:val="605"/>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5"/>
              </w:rPr>
              <w:t>1300 North 17th St., Arlington, VA</w:t>
            </w:r>
          </w:p>
        </w:tc>
        <w:tc>
          <w:tcPr>
            <w:tcW w:w="3600" w:type="dxa"/>
            <w:vAlign w:val="bottom"/>
          </w:tcPr>
          <w:p>
            <w:pPr>
              <w:spacing w:after="0"/>
              <w:rPr>
                <w:sz w:val="24"/>
                <w:szCs w:val="24"/>
                <w:color w:val="auto"/>
              </w:rPr>
            </w:pPr>
          </w:p>
        </w:tc>
        <w:tc>
          <w:tcPr>
            <w:tcW w:w="3480" w:type="dxa"/>
            <w:vAlign w:val="bottom"/>
            <w:tcBorders>
              <w:bottom w:val="single" w:sz="8" w:color="auto"/>
            </w:tcBorders>
          </w:tcPr>
          <w:p>
            <w:pPr>
              <w:jc w:val="right"/>
              <w:ind w:right="1353"/>
              <w:spacing w:after="0"/>
              <w:rPr>
                <w:sz w:val="20"/>
                <w:szCs w:val="20"/>
                <w:color w:val="auto"/>
              </w:rPr>
            </w:pPr>
            <w:r>
              <w:rPr>
                <w:rFonts w:ascii="Arial" w:cs="Arial" w:eastAsia="Arial" w:hAnsi="Arial"/>
                <w:sz w:val="21"/>
                <w:szCs w:val="21"/>
                <w:color w:val="auto"/>
              </w:rPr>
              <w:t>22209</w:t>
            </w:r>
          </w:p>
        </w:tc>
      </w:tr>
      <w:tr>
        <w:trPr>
          <w:trHeight w:val="268"/>
        </w:trPr>
        <w:tc>
          <w:tcPr>
            <w:tcW w:w="4160" w:type="dxa"/>
            <w:vAlign w:val="bottom"/>
          </w:tcPr>
          <w:p>
            <w:pPr>
              <w:jc w:val="center"/>
              <w:spacing w:after="0"/>
              <w:rPr>
                <w:sz w:val="20"/>
                <w:szCs w:val="20"/>
                <w:color w:val="auto"/>
              </w:rPr>
            </w:pPr>
            <w:r>
              <w:rPr>
                <w:rFonts w:ascii="Arial" w:cs="Arial" w:eastAsia="Arial" w:hAnsi="Arial"/>
                <w:sz w:val="21"/>
                <w:szCs w:val="21"/>
                <w:color w:val="auto"/>
                <w:w w:val="94"/>
              </w:rPr>
              <w:t>(Address of principal executive offices)</w:t>
            </w:r>
          </w:p>
        </w:tc>
        <w:tc>
          <w:tcPr>
            <w:tcW w:w="3600" w:type="dxa"/>
            <w:vAlign w:val="bottom"/>
          </w:tcPr>
          <w:p>
            <w:pPr>
              <w:spacing w:after="0"/>
              <w:rPr>
                <w:sz w:val="23"/>
                <w:szCs w:val="23"/>
                <w:color w:val="auto"/>
              </w:rPr>
            </w:pPr>
          </w:p>
        </w:tc>
        <w:tc>
          <w:tcPr>
            <w:tcW w:w="3480" w:type="dxa"/>
            <w:vAlign w:val="bottom"/>
          </w:tcPr>
          <w:p>
            <w:pPr>
              <w:jc w:val="center"/>
              <w:spacing w:after="0"/>
              <w:rPr>
                <w:sz w:val="20"/>
                <w:szCs w:val="20"/>
                <w:color w:val="auto"/>
              </w:rPr>
            </w:pPr>
            <w:r>
              <w:rPr>
                <w:rFonts w:ascii="Arial" w:cs="Arial" w:eastAsia="Arial" w:hAnsi="Arial"/>
                <w:sz w:val="21"/>
                <w:szCs w:val="21"/>
                <w:color w:val="auto"/>
                <w:w w:val="95"/>
              </w:rPr>
              <w:t>(Zip code)</w:t>
            </w:r>
          </w:p>
        </w:tc>
      </w:tr>
    </w:tbl>
    <w:p>
      <w:pPr>
        <w:spacing w:after="0" w:line="309" w:lineRule="exact"/>
        <w:rPr>
          <w:sz w:val="24"/>
          <w:szCs w:val="24"/>
          <w:color w:val="auto"/>
        </w:rPr>
      </w:pPr>
    </w:p>
    <w:p>
      <w:pPr>
        <w:ind w:left="4620"/>
        <w:spacing w:after="0"/>
        <w:rPr>
          <w:sz w:val="20"/>
          <w:szCs w:val="20"/>
          <w:color w:val="auto"/>
        </w:rPr>
      </w:pPr>
      <w:r>
        <w:rPr>
          <w:rFonts w:ascii="Arial" w:cs="Arial" w:eastAsia="Arial" w:hAnsi="Arial"/>
          <w:sz w:val="21"/>
          <w:szCs w:val="21"/>
          <w:color w:val="auto"/>
        </w:rPr>
        <w:t>Nicole Maddrey 703-345-6362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2643505</wp:posOffset>
            </wp:positionH>
            <wp:positionV relativeFrom="paragraph">
              <wp:posOffset>30480</wp:posOffset>
            </wp:positionV>
            <wp:extent cx="22898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9810" cy="8255"/>
                    </a:xfrm>
                    <a:prstGeom prst="rect">
                      <a:avLst/>
                    </a:prstGeom>
                    <a:noFill/>
                  </pic:spPr>
                </pic:pic>
              </a:graphicData>
            </a:graphic>
          </wp:anchor>
        </w:drawing>
      </w:r>
    </w:p>
    <w:p>
      <w:pPr>
        <w:spacing w:after="0" w:line="33" w:lineRule="exact"/>
        <w:rPr>
          <w:sz w:val="24"/>
          <w:szCs w:val="24"/>
          <w:color w:val="auto"/>
        </w:rPr>
      </w:pPr>
    </w:p>
    <w:p>
      <w:pPr>
        <w:ind w:left="1060"/>
        <w:spacing w:after="0"/>
        <w:rPr>
          <w:sz w:val="20"/>
          <w:szCs w:val="20"/>
          <w:color w:val="auto"/>
        </w:rPr>
      </w:pPr>
      <w:r>
        <w:rPr>
          <w:rFonts w:ascii="Arial" w:cs="Arial" w:eastAsia="Arial" w:hAnsi="Arial"/>
          <w:sz w:val="21"/>
          <w:szCs w:val="21"/>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right="560"/>
        <w:spacing w:after="0" w:line="284" w:lineRule="auto"/>
        <w:rPr>
          <w:sz w:val="20"/>
          <w:szCs w:val="20"/>
          <w:color w:val="auto"/>
        </w:rPr>
      </w:pPr>
      <w:r>
        <w:rPr>
          <w:rFonts w:ascii="Arial" w:cs="Arial" w:eastAsia="Arial" w:hAnsi="Arial"/>
          <w:sz w:val="21"/>
          <w:szCs w:val="21"/>
          <w:color w:val="auto"/>
        </w:rPr>
        <w:t>Check the appropriate box to indicate the rule pursuant to which this form is being filed, and provide the period to which the information in this form applies:</w:t>
      </w:r>
    </w:p>
    <w:p>
      <w:pPr>
        <w:spacing w:after="0" w:line="193" w:lineRule="exact"/>
        <w:rPr>
          <w:sz w:val="24"/>
          <w:szCs w:val="24"/>
          <w:color w:val="auto"/>
        </w:rPr>
      </w:pPr>
    </w:p>
    <w:p>
      <w:pPr>
        <w:ind w:right="220" w:firstLine="7"/>
        <w:spacing w:after="0" w:line="284" w:lineRule="auto"/>
        <w:tabs>
          <w:tab w:leader="none" w:pos="351" w:val="left"/>
        </w:tabs>
        <w:numPr>
          <w:ilvl w:val="0"/>
          <w:numId w:val="1"/>
        </w:numPr>
        <w:rPr>
          <w:rFonts w:ascii="Arial" w:cs="Arial" w:eastAsia="Arial" w:hAnsi="Arial"/>
          <w:sz w:val="21"/>
          <w:szCs w:val="21"/>
          <w:color w:val="auto"/>
        </w:rPr>
      </w:pPr>
      <w:r>
        <w:rPr>
          <w:rFonts w:ascii="Arial" w:cs="Arial" w:eastAsia="Arial" w:hAnsi="Arial"/>
          <w:sz w:val="21"/>
          <w:szCs w:val="21"/>
          <w:color w:val="auto"/>
        </w:rPr>
        <w:t>Rule 13p-1 under the Securities Exchange Act (17 CFR 240.13p-1) for the reporting period from January 1 to December 31, 2022.</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Section 1 - Conflict Minerals Disclosure</w:t>
      </w: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1.01 Conflict Minerals Disclosure and Report</w:t>
      </w: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1.02 Exhibit</w:t>
      </w:r>
    </w:p>
    <w:p>
      <w:pPr>
        <w:spacing w:after="0" w:line="274" w:lineRule="exact"/>
        <w:rPr>
          <w:sz w:val="20"/>
          <w:szCs w:val="20"/>
          <w:color w:val="auto"/>
        </w:rPr>
      </w:pPr>
    </w:p>
    <w:p>
      <w:pPr>
        <w:ind w:right="3480"/>
        <w:spacing w:after="0" w:line="284" w:lineRule="auto"/>
        <w:rPr>
          <w:sz w:val="20"/>
          <w:szCs w:val="20"/>
          <w:color w:val="auto"/>
        </w:rPr>
      </w:pPr>
      <w:r>
        <w:rPr>
          <w:rFonts w:ascii="Arial" w:cs="Arial" w:eastAsia="Arial" w:hAnsi="Arial"/>
          <w:sz w:val="21"/>
          <w:szCs w:val="21"/>
          <w:color w:val="auto"/>
        </w:rPr>
        <w:t>A copy of our Conflict Minerals Report is filed as Exhibit 1.01 and is publicly available at http://www.ghco.com/phoenix.zhtml?c=62487&amp;p=irol-sec</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Section 2 - Exhibits</w:t>
      </w: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2.01 Exhibits</w:t>
      </w:r>
    </w:p>
    <w:p>
      <w:pPr>
        <w:spacing w:after="0" w:line="200" w:lineRule="exact"/>
        <w:rPr>
          <w:sz w:val="20"/>
          <w:szCs w:val="20"/>
          <w:color w:val="auto"/>
        </w:rPr>
      </w:pPr>
    </w:p>
    <w:p>
      <w:pPr>
        <w:spacing w:after="0" w:line="288" w:lineRule="exact"/>
        <w:rPr>
          <w:sz w:val="20"/>
          <w:szCs w:val="20"/>
          <w:color w:val="auto"/>
        </w:rPr>
      </w:pPr>
    </w:p>
    <w:tbl>
      <w:tblPr>
        <w:tblLayout w:type="fixed"/>
        <w:tblInd w:w="660" w:type="dxa"/>
        <w:tblCellMar>
          <w:top w:w="0" w:type="dxa"/>
          <w:left w:w="0" w:type="dxa"/>
          <w:bottom w:w="0" w:type="dxa"/>
          <w:right w:w="0" w:type="dxa"/>
        </w:tblCellMar>
      </w:tblPr>
      <w:tr>
        <w:trPr>
          <w:trHeight w:val="283"/>
        </w:trPr>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93"/>
              </w:rPr>
              <w:t>Designation</w:t>
            </w:r>
          </w:p>
        </w:tc>
        <w:tc>
          <w:tcPr>
            <w:tcW w:w="4240" w:type="dxa"/>
            <w:vAlign w:val="bottom"/>
            <w:tcBorders>
              <w:bottom w:val="single" w:sz="8" w:color="auto"/>
            </w:tcBorders>
          </w:tcPr>
          <w:p>
            <w:pPr>
              <w:ind w:left="1320"/>
              <w:spacing w:after="0"/>
              <w:rPr>
                <w:sz w:val="20"/>
                <w:szCs w:val="20"/>
                <w:color w:val="auto"/>
              </w:rPr>
            </w:pPr>
            <w:r>
              <w:rPr>
                <w:rFonts w:ascii="Arial" w:cs="Arial" w:eastAsia="Arial" w:hAnsi="Arial"/>
                <w:sz w:val="21"/>
                <w:szCs w:val="21"/>
                <w:color w:val="auto"/>
              </w:rPr>
              <w:t>Description</w:t>
            </w:r>
          </w:p>
        </w:tc>
        <w:tc>
          <w:tcPr>
            <w:tcW w:w="4560" w:type="dxa"/>
            <w:vAlign w:val="bottom"/>
            <w:tcBorders>
              <w:bottom w:val="single" w:sz="8" w:color="auto"/>
            </w:tcBorders>
          </w:tcPr>
          <w:p>
            <w:pPr>
              <w:ind w:left="760"/>
              <w:spacing w:after="0"/>
              <w:rPr>
                <w:sz w:val="20"/>
                <w:szCs w:val="20"/>
                <w:color w:val="auto"/>
              </w:rPr>
            </w:pPr>
            <w:r>
              <w:rPr>
                <w:rFonts w:ascii="Arial" w:cs="Arial" w:eastAsia="Arial" w:hAnsi="Arial"/>
                <w:sz w:val="21"/>
                <w:szCs w:val="21"/>
                <w:color w:val="auto"/>
              </w:rPr>
              <w:t>Method of Filing</w:t>
            </w:r>
          </w:p>
        </w:tc>
      </w:tr>
      <w:tr>
        <w:trPr>
          <w:trHeight w:val="214"/>
        </w:trPr>
        <w:tc>
          <w:tcPr>
            <w:tcW w:w="60" w:type="dxa"/>
            <w:vAlign w:val="bottom"/>
          </w:tcPr>
          <w:p>
            <w:pPr>
              <w:spacing w:after="0"/>
              <w:rPr>
                <w:sz w:val="18"/>
                <w:szCs w:val="18"/>
                <w:color w:val="auto"/>
              </w:rPr>
            </w:pPr>
          </w:p>
        </w:tc>
        <w:tc>
          <w:tcPr>
            <w:tcW w:w="1060" w:type="dxa"/>
            <w:vAlign w:val="bottom"/>
            <w:tcBorders>
              <w:bottom w:val="single" w:sz="8" w:color="0000FF"/>
            </w:tcBorders>
          </w:tcPr>
          <w:p>
            <w:pPr>
              <w:spacing w:after="0" w:line="215" w:lineRule="exact"/>
              <w:rPr>
                <w:sz w:val="20"/>
                <w:szCs w:val="20"/>
                <w:color w:val="auto"/>
              </w:rPr>
            </w:pPr>
            <w:r>
              <w:rPr>
                <w:rFonts w:ascii="Arial" w:cs="Arial" w:eastAsia="Arial" w:hAnsi="Arial"/>
                <w:sz w:val="21"/>
                <w:szCs w:val="21"/>
                <w:color w:val="0000FF"/>
                <w:w w:val="94"/>
              </w:rPr>
              <w:t>Exhibit 1.01</w:t>
            </w:r>
          </w:p>
        </w:tc>
        <w:tc>
          <w:tcPr>
            <w:tcW w:w="4240" w:type="dxa"/>
            <w:vAlign w:val="bottom"/>
          </w:tcPr>
          <w:p>
            <w:pPr>
              <w:ind w:left="1320"/>
              <w:spacing w:after="0" w:line="215" w:lineRule="exact"/>
              <w:rPr>
                <w:sz w:val="20"/>
                <w:szCs w:val="20"/>
                <w:color w:val="auto"/>
              </w:rPr>
            </w:pPr>
            <w:r>
              <w:rPr>
                <w:rFonts w:ascii="Arial" w:cs="Arial" w:eastAsia="Arial" w:hAnsi="Arial"/>
                <w:sz w:val="21"/>
                <w:szCs w:val="21"/>
                <w:color w:val="auto"/>
              </w:rPr>
              <w:t>Conflict Minerals Report</w:t>
            </w:r>
          </w:p>
        </w:tc>
        <w:tc>
          <w:tcPr>
            <w:tcW w:w="4560" w:type="dxa"/>
            <w:vAlign w:val="bottom"/>
          </w:tcPr>
          <w:p>
            <w:pPr>
              <w:ind w:left="760"/>
              <w:spacing w:after="0" w:line="215" w:lineRule="exact"/>
              <w:rPr>
                <w:sz w:val="20"/>
                <w:szCs w:val="20"/>
                <w:color w:val="auto"/>
              </w:rPr>
            </w:pPr>
            <w:r>
              <w:rPr>
                <w:rFonts w:ascii="Arial" w:cs="Arial" w:eastAsia="Arial" w:hAnsi="Arial"/>
                <w:sz w:val="21"/>
                <w:szCs w:val="21"/>
                <w:color w:val="auto"/>
              </w:rPr>
              <w:t>Filed with this report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SIGNATURES</w:t>
      </w:r>
    </w:p>
    <w:p>
      <w:pPr>
        <w:spacing w:after="0" w:line="261" w:lineRule="exact"/>
        <w:rPr>
          <w:sz w:val="20"/>
          <w:szCs w:val="20"/>
          <w:color w:val="auto"/>
        </w:rPr>
      </w:pPr>
    </w:p>
    <w:p>
      <w:pPr>
        <w:ind w:right="160"/>
        <w:spacing w:after="0" w:line="297"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duly authorized undersigned.</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Graham Holdings Company</w:t>
      </w:r>
    </w:p>
    <w:p>
      <w:pPr>
        <w:spacing w:after="0" w:line="37" w:lineRule="exact"/>
        <w:rPr>
          <w:sz w:val="20"/>
          <w:szCs w:val="20"/>
          <w:color w:val="auto"/>
        </w:rPr>
      </w:pPr>
    </w:p>
    <w:p>
      <w:pPr>
        <w:spacing w:after="0"/>
        <w:rPr>
          <w:sz w:val="20"/>
          <w:szCs w:val="20"/>
          <w:color w:val="auto"/>
        </w:rPr>
      </w:pPr>
      <w:r>
        <w:rPr>
          <w:rFonts w:ascii="Arial" w:cs="Arial" w:eastAsia="Arial" w:hAnsi="Arial"/>
          <w:sz w:val="21"/>
          <w:szCs w:val="21"/>
          <w:color w:val="auto"/>
        </w:rPr>
        <w:t>(Registrant)</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7880" w:type="dxa"/>
            <w:vAlign w:val="bottom"/>
            <w:tcBorders>
              <w:bottom w:val="single" w:sz="8" w:color="auto"/>
            </w:tcBorders>
          </w:tcPr>
          <w:p>
            <w:pPr>
              <w:ind w:left="60"/>
              <w:spacing w:after="0"/>
              <w:rPr>
                <w:sz w:val="20"/>
                <w:szCs w:val="20"/>
                <w:color w:val="auto"/>
              </w:rPr>
            </w:pPr>
            <w:r>
              <w:rPr>
                <w:rFonts w:ascii="Arial" w:cs="Arial" w:eastAsia="Arial" w:hAnsi="Arial"/>
                <w:sz w:val="21"/>
                <w:szCs w:val="21"/>
                <w:color w:val="auto"/>
              </w:rPr>
              <w:t>/s/ Nicole M. Maddrey</w:t>
            </w:r>
          </w:p>
        </w:tc>
        <w:tc>
          <w:tcPr>
            <w:tcW w:w="3320" w:type="dxa"/>
            <w:vAlign w:val="bottom"/>
            <w:tcBorders>
              <w:bottom w:val="single" w:sz="8" w:color="auto"/>
            </w:tcBorders>
          </w:tcPr>
          <w:p>
            <w:pPr>
              <w:jc w:val="center"/>
              <w:ind w:left="653"/>
              <w:spacing w:after="0"/>
              <w:rPr>
                <w:sz w:val="20"/>
                <w:szCs w:val="20"/>
                <w:color w:val="auto"/>
              </w:rPr>
            </w:pPr>
            <w:r>
              <w:rPr>
                <w:rFonts w:ascii="Arial" w:cs="Arial" w:eastAsia="Arial" w:hAnsi="Arial"/>
                <w:sz w:val="21"/>
                <w:szCs w:val="21"/>
                <w:color w:val="auto"/>
                <w:w w:val="94"/>
              </w:rPr>
              <w:t>May 30, 2023</w:t>
            </w:r>
          </w:p>
        </w:tc>
      </w:tr>
      <w:tr>
        <w:trPr>
          <w:trHeight w:val="273"/>
        </w:trPr>
        <w:tc>
          <w:tcPr>
            <w:tcW w:w="7880" w:type="dxa"/>
            <w:vAlign w:val="bottom"/>
          </w:tcPr>
          <w:p>
            <w:pPr>
              <w:ind w:left="60"/>
              <w:spacing w:after="0"/>
              <w:rPr>
                <w:sz w:val="20"/>
                <w:szCs w:val="20"/>
                <w:color w:val="auto"/>
              </w:rPr>
            </w:pPr>
            <w:r>
              <w:rPr>
                <w:rFonts w:ascii="Arial" w:cs="Arial" w:eastAsia="Arial" w:hAnsi="Arial"/>
                <w:sz w:val="21"/>
                <w:szCs w:val="21"/>
                <w:color w:val="auto"/>
              </w:rPr>
              <w:t>By Nicole M. Maddrey, Senior Vice President, Secretary, General Counsel</w:t>
            </w:r>
          </w:p>
        </w:tc>
        <w:tc>
          <w:tcPr>
            <w:tcW w:w="3320" w:type="dxa"/>
            <w:vAlign w:val="bottom"/>
          </w:tcPr>
          <w:p>
            <w:pPr>
              <w:jc w:val="center"/>
              <w:ind w:left="653"/>
              <w:spacing w:after="0"/>
              <w:rPr>
                <w:sz w:val="20"/>
                <w:szCs w:val="20"/>
                <w:color w:val="auto"/>
              </w:rPr>
            </w:pPr>
            <w:r>
              <w:rPr>
                <w:rFonts w:ascii="Arial" w:cs="Arial" w:eastAsia="Arial" w:hAnsi="Arial"/>
                <w:sz w:val="21"/>
                <w:szCs w:val="21"/>
                <w:color w:val="auto"/>
                <w:w w:val="95"/>
              </w:rPr>
              <w:t>(Date)</w:t>
            </w:r>
          </w:p>
        </w:tc>
      </w:tr>
    </w:tbl>
    <w:p>
      <w:pPr>
        <w:sectPr>
          <w:pgSz w:w="11900" w:h="16838" w:orient="portrait"/>
          <w:cols w:equalWidth="0" w:num="1">
            <w:col w:w="11220"/>
          </w:cols>
          <w:pgMar w:left="320" w:top="688" w:right="35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Exhibit 1.01 - Graham Holdings Company Conflict Minerals Report</w:t>
      </w:r>
    </w:p>
    <w:p>
      <w:pPr>
        <w:spacing w:after="0" w:line="3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Introduction</w:t>
      </w:r>
    </w:p>
    <w:p>
      <w:pPr>
        <w:spacing w:after="0" w:line="261" w:lineRule="exact"/>
        <w:rPr>
          <w:sz w:val="20"/>
          <w:szCs w:val="20"/>
          <w:color w:val="auto"/>
        </w:rPr>
      </w:pPr>
    </w:p>
    <w:p>
      <w:pPr>
        <w:ind w:right="20"/>
        <w:spacing w:after="0" w:line="273" w:lineRule="auto"/>
        <w:rPr>
          <w:sz w:val="20"/>
          <w:szCs w:val="20"/>
          <w:color w:val="auto"/>
        </w:rPr>
      </w:pPr>
      <w:r>
        <w:rPr>
          <w:rFonts w:ascii="Arial" w:cs="Arial" w:eastAsia="Arial" w:hAnsi="Arial"/>
          <w:sz w:val="20"/>
          <w:szCs w:val="20"/>
          <w:color w:val="auto"/>
        </w:rPr>
        <w:t>The Dodd-Frank Wall Street Reform and Consumer Protection Act of 2010 and rules promulgated thereunder by the Securities and Exchange Commission (“SEC”) impose certain reporting obligations on public companies that manufacture or contract to manufacture products containing columbite-tantalite (coltan), cassiterite, gold, wolframite, or their derivatives, tantalum, tin and tungsten (each a “Conflict Mineral” as that term is defined in paragraph (d)(3) of Item 1.01 of Form SD) that may have originated from the Democratic Republic of the Congo or an adjoining country, as defined by paragraph (d)(1) of Item 1.01 of Form SD (collectively, “Covered Countries”). We also refer to tin, tantalum, tungsten, and gold collectively as “3TG”. Under the SEC’s rules, if any Conflict Minerals are necessary to the functionality or production of a product manufactured by us or contracted by us to be manufactured and are required to be reported in the calendar year covered by this Form SD, the Company must conduct in good faith a reasonable country of origin inquiry regarding those Conflict Minerals that is reasonably designed to determine whether any Conflict Minerals (a) originated in the Covered Countries or (b) are from recycled or scrap sources, as defined by paragraph (d)(6) of Item 1.01 of Form SD.</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Company and Products Overview</w:t>
      </w:r>
    </w:p>
    <w:p>
      <w:pPr>
        <w:spacing w:after="0" w:line="261"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This Conflict Minerals Report (the “Report”) for the year ended December 31, 2022 (the "Reporting Period"), is presented by Graham Holdings Company (the “Company”) to comply with Rule 13p-1 under the Securities Exchange Act of 1934 (the “Conflict Minerals Rule”). The Company is a diversified holding company whose operations include: education, television broadcasting– online, podcast, print and local TV news; manufacturing; home health and hospice care; automotive dealerships; and other businesses. The Company’s manufacturing companies include Group Dekko Inc. (“Dekko”), Forney Corporation (“Forney”) and Joyce/Dayton Corp. (“Joyce”). Forney is a global supplier of products and systems that control and monitor combustion processes in electric utility and industrial applications. Joyce is a global supplier of screw jacks, linear actuators and lifting systems used in commercial and industrial applications. Dekko is an electrical solutions company that focuses on innovative power charging and data systems; industrial and commercial indoor lighting solutions; and the manufacture of electrical components and assemblies for medical equipment, transportation, industrial and appliance products. In addition, the Company's subsidiary, Leaf Group Ltd. (“Leaf Group”), runs made-to-order marketplaces, consisting of its Society6.com and Deny Designs brands, which offer consumer products in the home décor, accessories, furniture and apparel categories.</w:t>
      </w:r>
    </w:p>
    <w:p>
      <w:pPr>
        <w:spacing w:after="0" w:line="203" w:lineRule="exact"/>
        <w:rPr>
          <w:sz w:val="20"/>
          <w:szCs w:val="20"/>
          <w:color w:val="auto"/>
        </w:rPr>
      </w:pPr>
    </w:p>
    <w:p>
      <w:pPr>
        <w:ind w:right="200"/>
        <w:spacing w:after="0" w:line="299" w:lineRule="auto"/>
        <w:rPr>
          <w:sz w:val="20"/>
          <w:szCs w:val="20"/>
          <w:color w:val="auto"/>
        </w:rPr>
      </w:pPr>
      <w:r>
        <w:rPr>
          <w:rFonts w:ascii="Arial" w:cs="Arial" w:eastAsia="Arial" w:hAnsi="Arial"/>
          <w:sz w:val="19"/>
          <w:szCs w:val="19"/>
          <w:color w:val="auto"/>
        </w:rPr>
        <w:t>The Company has reviewed its operations to determine which parts of its business may be subject to the disclosure requirements under the Dodd-Frank Act of 2010, which requires public companies to disclose measures they have taken to identify the source of “conflict minerals” in the products they manufacture or contract to manufacture. The Company did not include products that were not entered into the stream of commerce in the calendar year ended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Dekko, Forney and Joyce manufacture products that contain small amounts of 3TG metals.</w:t>
      </w:r>
    </w:p>
    <w:p>
      <w:pPr>
        <w:spacing w:after="0" w:line="31" w:lineRule="exact"/>
        <w:rPr>
          <w:sz w:val="20"/>
          <w:szCs w:val="20"/>
          <w:color w:val="auto"/>
        </w:rPr>
      </w:pPr>
    </w:p>
    <w:p>
      <w:pPr>
        <w:ind w:right="160"/>
        <w:spacing w:after="0" w:line="262" w:lineRule="auto"/>
        <w:rPr>
          <w:sz w:val="20"/>
          <w:szCs w:val="20"/>
          <w:color w:val="auto"/>
        </w:rPr>
      </w:pPr>
      <w:r>
        <w:rPr>
          <w:rFonts w:ascii="Arial" w:cs="Arial" w:eastAsia="Arial" w:hAnsi="Arial"/>
          <w:sz w:val="21"/>
          <w:szCs w:val="21"/>
          <w:color w:val="auto"/>
        </w:rPr>
        <w:t>These products incorporate generic components obtained from other companies that contain tantalum, tin, tungsten and gold. The 3TG in these generic components are necessary to the functionality of Dekko’s, Forney’s and Joyce’s products. These generic components are purchased from manufacturers and distributors. Dekko, Forney and Joyce do not purchase any 3TG metals directly from mines, smelters or refiners.</w:t>
      </w:r>
    </w:p>
    <w:p>
      <w:pPr>
        <w:spacing w:after="0" w:line="201"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A portion of the procured components and materials within Dekko power distribution products, lighting products, wire harnesses and electro-mechanical assemblies contain gold and tin used as an electrically conductive plating (including electrical wire and cable (tin), plated terminals within purchased connector assemblies (tin and gold) and tin plated copper purchased by Dekko to manufacture electrical terminals). Tin is the most predominant 3TG metal within Dekko’s products and may also be present in the form of solder used by component suppliers and by Dekko to establish electrical connections. Dekko’s lighting products may contain tungsten (products utilizing incandescent or fluorescent lamp technologies); the steel in some purchased products may also contain tungsten as an alloying element. Printed circuit board assemblies subcontracted by Dekko for inclusion in their products and utilizing certain capacitors may contain tantalum. Forney’s products that contain gold and tin are Printed Circuit Boards (“PCBs”) and connectors; Forney’s products that contain tantalum are capacitors; Forney’s products that contain tungsten are electrical materials such as resistors. Joyce’s products that contain gold and tin are electrical wiring, name plates, castings and covers; products that contain tantalum are screws and nuts.</w:t>
      </w:r>
    </w:p>
    <w:p>
      <w:pPr>
        <w:spacing w:after="0" w:line="186" w:lineRule="exact"/>
        <w:rPr>
          <w:sz w:val="20"/>
          <w:szCs w:val="20"/>
          <w:color w:val="auto"/>
        </w:rPr>
      </w:pPr>
    </w:p>
    <w:p>
      <w:pPr>
        <w:ind w:right="40"/>
        <w:spacing w:after="0" w:line="294" w:lineRule="auto"/>
        <w:rPr>
          <w:sz w:val="20"/>
          <w:szCs w:val="20"/>
          <w:color w:val="auto"/>
        </w:rPr>
      </w:pPr>
      <w:r>
        <w:rPr>
          <w:rFonts w:ascii="Arial" w:cs="Arial" w:eastAsia="Arial" w:hAnsi="Arial"/>
          <w:sz w:val="19"/>
          <w:szCs w:val="19"/>
          <w:color w:val="auto"/>
        </w:rPr>
        <w:t>With respect to the Leaf Group, the vast majority of the products sold through the Society6 website are manufactured by third parties. A small portion of Leaf Group's products are manufactured in-house by Deny Designs, a wholly owned subsidiary of Leaf Group. Leaf Group undertook due diligence to determine whether any of the materials that were necessary to the functionality or production of the finished products sold by Leaf Group in the Reporting Period contained any 3TG metals. Leaf does not purchase 3TG directly from any mine, refiner or smelter. Leaf Group's due diligence measures included conducting a supply-chain survey by polling all of the third-party manufacturers with which Leaf Group contracted to produce</w:t>
      </w:r>
    </w:p>
    <w:p>
      <w:pPr>
        <w:sectPr>
          <w:pgSz w:w="11900" w:h="16838" w:orient="portrait"/>
          <w:cols w:equalWidth="0" w:num="1">
            <w:col w:w="10900"/>
          </w:cols>
          <w:pgMar w:left="640" w:top="1131" w:right="359" w:bottom="0" w:gutter="0" w:footer="0" w:header="0"/>
        </w:sectPr>
      </w:pPr>
    </w:p>
    <w:bookmarkStart w:id="3" w:name="page4"/>
    <w:bookmarkEnd w:id="3"/>
    <w:p>
      <w:pPr>
        <w:spacing w:after="0" w:line="20" w:lineRule="exact"/>
        <w:rPr>
          <w:sz w:val="20"/>
          <w:szCs w:val="20"/>
          <w:color w:val="auto"/>
        </w:rPr>
      </w:pPr>
    </w:p>
    <w:p>
      <w:pPr>
        <w:ind w:right="80"/>
        <w:spacing w:after="0" w:line="274" w:lineRule="auto"/>
        <w:rPr>
          <w:sz w:val="20"/>
          <w:szCs w:val="20"/>
          <w:color w:val="auto"/>
        </w:rPr>
      </w:pPr>
      <w:r>
        <w:rPr>
          <w:rFonts w:ascii="Arial" w:cs="Arial" w:eastAsia="Arial" w:hAnsi="Arial"/>
          <w:sz w:val="20"/>
          <w:szCs w:val="20"/>
          <w:color w:val="auto"/>
        </w:rPr>
        <w:t>and manufacture the products sold by it during the Reporting Period, and all of the third-party suppliers with which it contracted to supply the materials for Deny Designs to produce and manufacture the products to be sold by it during the Reporting Period. The surveys asked such third-party manufacturers and suppliers to certify in writing whether products or materials supplied to Leaf Group contained any amounts of 3TG. All of such manufacturers and suppliers confirmed that no amount of 3TG was contained in any of the materials in the finished products sold by Leaf Group. As a result, Leaf Group does not believe that any of the products sold during the Reporting Period that were manufactured by Deny Designs or by any third-party manufacturer on its behalf contained any 3TG in the materials that were necessary to the functionality or production of its finished products. Therefore, Leaf Group did not conduct its own Reasonable Country of Origin Inquiry with regard to any of the products it sold in the Reporting Period.</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Supply Chain Overview</w:t>
      </w:r>
    </w:p>
    <w:p>
      <w:pPr>
        <w:spacing w:after="0" w:line="261" w:lineRule="exact"/>
        <w:rPr>
          <w:sz w:val="20"/>
          <w:szCs w:val="20"/>
          <w:color w:val="auto"/>
        </w:rPr>
      </w:pPr>
    </w:p>
    <w:p>
      <w:pPr>
        <w:ind w:right="20"/>
        <w:spacing w:after="0" w:line="286" w:lineRule="auto"/>
        <w:rPr>
          <w:sz w:val="20"/>
          <w:szCs w:val="20"/>
          <w:color w:val="auto"/>
        </w:rPr>
      </w:pPr>
      <w:r>
        <w:rPr>
          <w:rFonts w:ascii="Arial" w:cs="Arial" w:eastAsia="Arial" w:hAnsi="Arial"/>
          <w:sz w:val="19"/>
          <w:szCs w:val="19"/>
          <w:color w:val="auto"/>
        </w:rPr>
        <w:t>Because Dekko, Forney and Joyce do not purchase 3TG directly from any mine, refiner or smelter, they are in a “downstream” position in the supply chain, that is, downstream in the supply chain from smelters to refiners to retailers. As such, Dekko, Forney and Joyce rely on their direct suppliers and distributors to provide information on the origin of the 3TG contained</w:t>
      </w:r>
    </w:p>
    <w:p>
      <w:pPr>
        <w:spacing w:after="0" w:line="1" w:lineRule="exact"/>
        <w:rPr>
          <w:sz w:val="20"/>
          <w:szCs w:val="20"/>
          <w:color w:val="auto"/>
        </w:rPr>
      </w:pPr>
    </w:p>
    <w:p>
      <w:pPr>
        <w:ind w:right="80"/>
        <w:spacing w:after="0" w:line="279" w:lineRule="auto"/>
        <w:rPr>
          <w:sz w:val="20"/>
          <w:szCs w:val="20"/>
          <w:color w:val="auto"/>
        </w:rPr>
      </w:pPr>
      <w:r>
        <w:rPr>
          <w:rFonts w:ascii="Arial" w:cs="Arial" w:eastAsia="Arial" w:hAnsi="Arial"/>
          <w:sz w:val="21"/>
          <w:szCs w:val="21"/>
          <w:color w:val="auto"/>
        </w:rPr>
        <w:t>in components supplied to them, including sources of 3TG that are supplied to them from lower tier suppliers. See Section 4.1 below.</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3.1 Conflict Minerals Policy</w:t>
      </w:r>
    </w:p>
    <w:p>
      <w:pPr>
        <w:spacing w:after="0" w:line="261" w:lineRule="exact"/>
        <w:rPr>
          <w:sz w:val="20"/>
          <w:szCs w:val="20"/>
          <w:color w:val="auto"/>
        </w:rPr>
      </w:pPr>
    </w:p>
    <w:p>
      <w:pPr>
        <w:ind w:right="860"/>
        <w:spacing w:after="0" w:line="268" w:lineRule="auto"/>
        <w:rPr>
          <w:sz w:val="20"/>
          <w:szCs w:val="20"/>
          <w:color w:val="auto"/>
        </w:rPr>
      </w:pPr>
      <w:r>
        <w:rPr>
          <w:rFonts w:ascii="Arial" w:cs="Arial" w:eastAsia="Arial" w:hAnsi="Arial"/>
          <w:sz w:val="21"/>
          <w:szCs w:val="21"/>
          <w:color w:val="auto"/>
        </w:rPr>
        <w:t>Dekko, Forney and Joyce adopted conflict minerals policies that are available on each of their respective websites at: https://www.forneycorp.com/policies; http://joycedayton.com/about-us/certifications; and http://www.dekko.com/capabilities/#_tab4.</w:t>
      </w:r>
    </w:p>
    <w:p>
      <w:pPr>
        <w:spacing w:after="0" w:line="210" w:lineRule="exact"/>
        <w:rPr>
          <w:sz w:val="20"/>
          <w:szCs w:val="20"/>
          <w:color w:val="auto"/>
        </w:rPr>
      </w:pPr>
    </w:p>
    <w:p>
      <w:pPr>
        <w:ind w:right="20"/>
        <w:spacing w:after="0" w:line="272" w:lineRule="auto"/>
        <w:rPr>
          <w:sz w:val="20"/>
          <w:szCs w:val="20"/>
          <w:color w:val="auto"/>
        </w:rPr>
      </w:pPr>
      <w:r>
        <w:rPr>
          <w:rFonts w:ascii="Arial" w:cs="Arial" w:eastAsia="Arial" w:hAnsi="Arial"/>
          <w:sz w:val="20"/>
          <w:szCs w:val="20"/>
          <w:color w:val="auto"/>
        </w:rPr>
        <w:t>The Company is committed to the responsible sourcing of “conflict minerals” throughout its supply chain for products that it manufactures that contain these minerals. Under the Conflict Minerals Rule, “conflict minerals” are the source of financing for armed conflicts in the Democratic Republic of the Congo (the “DRC”) and adjoining countries. The Conflict Minerals Rule is intended to reduce a significant source of funding for armed groups that are committing human rights abuses in the DRC and adjoining countries. “Conflict minerals” are four specific minerals and their derivatives: columbite-tantalite (the metal ore from which tantalum is extracted), cassiterite (the metal ore from which tin is extracted), wolframite (the metal ore from which tungsten is extracted), and gold. The Company has policies and systems in place to reduce the risk that the minerals used in any of its products originate from conflict mines in the DRC. It is committed to strengthening its efforts to ensure that it refrains from, directly or indirectly, taking or supporting any action that contributes to the financing of armed groups that are committing human rights abuses in the DRC and other covered countries.</w:t>
      </w:r>
    </w:p>
    <w:p>
      <w:pPr>
        <w:spacing w:after="0" w:line="189" w:lineRule="exact"/>
        <w:rPr>
          <w:sz w:val="20"/>
          <w:szCs w:val="20"/>
          <w:color w:val="auto"/>
        </w:rPr>
      </w:pPr>
    </w:p>
    <w:p>
      <w:pPr>
        <w:ind w:left="220" w:hanging="211"/>
        <w:spacing w:after="0"/>
        <w:tabs>
          <w:tab w:leader="none" w:pos="22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Reasonable Country of Origin Inquiry (“RCOI”)</w:t>
      </w:r>
    </w:p>
    <w:p>
      <w:pPr>
        <w:spacing w:after="0" w:line="267"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4.1 Requests for Information and Survey Responses</w:t>
      </w:r>
    </w:p>
    <w:p>
      <w:pPr>
        <w:spacing w:after="0" w:line="261" w:lineRule="exact"/>
        <w:rPr>
          <w:sz w:val="20"/>
          <w:szCs w:val="20"/>
          <w:color w:val="auto"/>
        </w:rPr>
      </w:pPr>
    </w:p>
    <w:p>
      <w:pPr>
        <w:spacing w:after="0" w:line="269" w:lineRule="auto"/>
        <w:rPr>
          <w:sz w:val="20"/>
          <w:szCs w:val="20"/>
          <w:color w:val="auto"/>
        </w:rPr>
      </w:pPr>
      <w:r>
        <w:rPr>
          <w:rFonts w:ascii="Arial" w:cs="Arial" w:eastAsia="Arial" w:hAnsi="Arial"/>
          <w:sz w:val="20"/>
          <w:szCs w:val="20"/>
          <w:color w:val="auto"/>
        </w:rPr>
        <w:t>Reasonable country of origin inquiries were conducted that were reasonably designed to determine whether any 3TG necessary to the functionality or production of products originated in the Covered Countries or were from recycled or scrap sources. The Company does not source 3TG metals directly from mines, smelters or refiners and are therefore several levels removed from them. As a result, it relies on the cooperation of its suppliers in the implementation of its conflict minerals policies and the provision of information on the origin of the 3TG contained in the products that they supply to the Company. Dekko, Forney and Joyce undertook an investigation of their suppliers of the generic components to determine the sources of the minerals incorporated into those components. Steps undertaken to determine sourcing included reviewing purchase orders, identifying active purchased SKUs, determining 3TG content (if any) for each SKU; identifying applicable supplier(s) for each 3TG SKU (direct supplier); identifying the manufacturer (OEM) for each SKU (indirect 3TG supplier); providing suppliers with a “Conflict Mineral Reporting Template” (CMRT or the “Template”) developed by the Responsible Minerals Initiative (“RMI”); conducting a due diligence review of responses, including follow-up for clarification, correction or non-responsiveness; validating responses (review of reported smelters/refiners against information found on the RMI website); and identifying and executing corrective actions, where possible, to address any identified smelters of high concern. The Template is designed to provide information concerning the supplier’s policy for the sourcing of 3TG metals, identification of the 3TG metals present in the supplier’s products, the origin of those metals, whether those 3TG metals come from recycled or scrap sources and the supplier’s due diligence regarding conflict-free sourcing practices. A significant number of the Dekko, Forney and Joyce suppliers are distributors and not the actual</w:t>
      </w:r>
    </w:p>
    <w:p>
      <w:pPr>
        <w:spacing w:after="0" w:line="6" w:lineRule="exact"/>
        <w:rPr>
          <w:sz w:val="20"/>
          <w:szCs w:val="20"/>
          <w:color w:val="auto"/>
        </w:rPr>
      </w:pPr>
    </w:p>
    <w:p>
      <w:pPr>
        <w:ind w:right="120"/>
        <w:spacing w:after="0" w:line="266" w:lineRule="auto"/>
        <w:rPr>
          <w:sz w:val="20"/>
          <w:szCs w:val="20"/>
          <w:color w:val="auto"/>
        </w:rPr>
      </w:pPr>
      <w:r>
        <w:rPr>
          <w:rFonts w:ascii="Arial" w:cs="Arial" w:eastAsia="Arial" w:hAnsi="Arial"/>
          <w:sz w:val="21"/>
          <w:szCs w:val="21"/>
          <w:color w:val="auto"/>
        </w:rPr>
        <w:t>manufacturer of the components supplied to them. In many cases, these distributors are unable to provide smelter information and direct the requestor to the manufacturer.</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In connection with Dekko’s due diligence efforts, including Dekko’s subsidiary Electri-Cable Assemblies (acquired in September 2016) and Furnlite (acquired in August 2018), Dekko reviewed approximately 4,968 purchase SKUs for 3TG content, identifying 236 direct “3TG suppliers” associated with these SKUs for the 2022 RCOI. Of the 235, there are 82 distributors. Through these 82 distributors, Dekko identified an additional 81 indirect 3TG suppliers (manufacturers) resulting in a total of 317 identified 3TG supply chain entities. Dekko solicited CMRTs from all of these identified material suppliers that support the direct suppliers and the distributor suppliers. A total of 376 smelters and refiners were identified within this</w:t>
      </w:r>
    </w:p>
    <w:p>
      <w:pPr>
        <w:sectPr>
          <w:pgSz w:w="11900" w:h="16859" w:orient="portrait"/>
          <w:cols w:equalWidth="0" w:num="1">
            <w:col w:w="10920"/>
          </w:cols>
          <w:pgMar w:left="640" w:top="131" w:right="339" w:bottom="0" w:gutter="0" w:footer="0" w:header="0"/>
        </w:sectPr>
      </w:pPr>
    </w:p>
    <w:bookmarkStart w:id="4" w:name="page5"/>
    <w:bookmarkEnd w:id="4"/>
    <w:p>
      <w:pPr>
        <w:spacing w:after="0" w:line="23"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 xml:space="preserve">supply chain as applicable to Dekko through the 3TG content of the products procured from them (confirmed and/or undetermined). A review of the CMRTs revealed that nearly all RMI recognized smelters are </w:t>
      </w:r>
      <w:r>
        <w:rPr>
          <w:rFonts w:ascii="Arial" w:cs="Arial" w:eastAsia="Arial" w:hAnsi="Arial"/>
          <w:sz w:val="19"/>
          <w:szCs w:val="19"/>
          <w:i w:val="1"/>
          <w:iCs w:val="1"/>
          <w:color w:val="auto"/>
        </w:rPr>
        <w:t>potentially</w:t>
      </w:r>
      <w:r>
        <w:rPr>
          <w:rFonts w:ascii="Arial" w:cs="Arial" w:eastAsia="Arial" w:hAnsi="Arial"/>
          <w:sz w:val="19"/>
          <w:szCs w:val="19"/>
          <w:color w:val="auto"/>
        </w:rPr>
        <w:t xml:space="preserve"> engaged within Dekko’s supply chain. With respect to Forney's due diligence measures, Forney reviewed all of its purchase orders from 2022, identified and solicited CMRTs from 40 suppliers of the generic components contained in its products, and received responses from 37 suppliers. Forney re-engaged multiple times with any of the original 40 suppliers that did not respond, as well as those whose CMRT’s declaration page reflected a 50% or less manufacturer response rate, or whose CMRT reflected uncertainty as to whether their products were sourced from conflict mines. Further research revealed that of the three direct suppliers who did not respond, two were distributors and one was a manufacturer whose website included a statement confirming that goods supplied do not contain any Conflict Minerals. By reviewing the two distributors' websites, Forney identified an additional 14 manufacturers or indirect suppliers. Forney reviewed information from those manufacturers and indirect suppliers' websites and found statements or CMRTs confirming that goods supplied do not contain any Conflict Minerals. Forney also sought country of origin information directly by reviewing the policies and statements on the manufacturers’ websites addressing Conflict Minerals. In connection with Joyce's due diligence, Joyce Dayton reviewed all active vendors for the Reporting Period and narrowed that to 82 vendors that are at risk of supplying 3TG metals for Joyce. These vendors were contacted multiple times and Joyce received 60 responses. Of those respondents 10 identified using 3TG metals. Eight identified RMAP Conformant smelters that were used in processing of the minerals. Two were unaware of the smelters that were used to process the materials used. EDrive (a Joyce subsidiary) reviewed all active vendors for the Reporting Period and narrowed that to six vendors that were at risk of supplying 3TG metals for EDrive. These vendors were all contacted multiple times and EDrive received four responses. Of those respondents, one identified using 3TG metals. That vendor identified an RMAP Conformant smelter that was used in the processing of the 3TG metals.</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21"/>
          <w:szCs w:val="21"/>
          <w:color w:val="auto"/>
        </w:rPr>
        <w:t>As reported by suppliers, several of the smelters/refiners in their disclosed supply chains geographically source from mines within the defined DRC region: the vast majority of these are RMAP Conformant smelters, indicating sourcing from “conflict-free” mines. See sections 4.2 and 5.4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4.2 RCOI Conclusion</w:t>
      </w:r>
    </w:p>
    <w:p>
      <w:pPr>
        <w:spacing w:after="0" w:line="261" w:lineRule="exact"/>
        <w:rPr>
          <w:sz w:val="20"/>
          <w:szCs w:val="20"/>
          <w:color w:val="auto"/>
        </w:rPr>
      </w:pPr>
    </w:p>
    <w:p>
      <w:pPr>
        <w:ind w:right="20"/>
        <w:spacing w:after="0" w:line="263" w:lineRule="auto"/>
        <w:rPr>
          <w:sz w:val="20"/>
          <w:szCs w:val="20"/>
          <w:color w:val="auto"/>
        </w:rPr>
      </w:pPr>
      <w:r>
        <w:rPr>
          <w:rFonts w:ascii="Arial" w:cs="Arial" w:eastAsia="Arial" w:hAnsi="Arial"/>
          <w:sz w:val="21"/>
          <w:szCs w:val="21"/>
          <w:color w:val="auto"/>
        </w:rPr>
        <w:t>Based on the Company’s reasonable country of origin inquiry, and after exercising due diligence measures that revealed that certain smelters/refiners are not RMAP conformant, the Company is unable to conclude that none of the Conflict Minerals that are necessary to the functionality or production of the Company’s products originated in the Covered Countries and are unable to conclude that they have not come from recycled or scrap resources.</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Due Diligence Program</w:t>
      </w: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5.1 Design of Due Diligence; Conformity to a Recognized Due Diligence Framework</w:t>
      </w:r>
    </w:p>
    <w:p>
      <w:pPr>
        <w:spacing w:after="0" w:line="261" w:lineRule="exact"/>
        <w:rPr>
          <w:sz w:val="20"/>
          <w:szCs w:val="20"/>
          <w:color w:val="auto"/>
        </w:rPr>
      </w:pPr>
    </w:p>
    <w:p>
      <w:pPr>
        <w:ind w:right="120"/>
        <w:spacing w:after="0" w:line="274" w:lineRule="auto"/>
        <w:rPr>
          <w:sz w:val="20"/>
          <w:szCs w:val="20"/>
          <w:color w:val="auto"/>
        </w:rPr>
      </w:pPr>
      <w:r>
        <w:rPr>
          <w:rFonts w:ascii="Arial" w:cs="Arial" w:eastAsia="Arial" w:hAnsi="Arial"/>
          <w:sz w:val="20"/>
          <w:szCs w:val="20"/>
          <w:color w:val="auto"/>
        </w:rPr>
        <w:t>The Company’s due diligence measures have been designed to conform, in all material respects, to the framework in the Organization for Economic Co-operation and Development (OECD) Due Diligence Guidance for Responsible Supply Chains of Minerals from Conflict-Affected and High-Risk Areas, third edition, April 2016 (OECD Guidance) and the related Supplements for gold, tin, tantalum and tungsten. This OECD framework (the “Framework”) is the only due diligence framework recognized by the SEC to date. The Framework stresses five main areas of due diligence design detailed below in Sections 5.2 to 5.6, namely: (1) establish strong company management systems, (2) identify and assess risks in the supply chain, (3) design and implement a strategy to respond to identified risks, (4) carry out an independent third party audit of smelter/refiner’s due diligence practices, and (5) report on supply chain due diligence.</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5.2 Establish Strong Company Management Systems</w:t>
      </w: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Internal Team</w:t>
      </w:r>
    </w:p>
    <w:p>
      <w:pPr>
        <w:spacing w:after="0" w:line="261" w:lineRule="exact"/>
        <w:rPr>
          <w:sz w:val="20"/>
          <w:szCs w:val="20"/>
          <w:color w:val="auto"/>
        </w:rPr>
      </w:pPr>
    </w:p>
    <w:p>
      <w:pPr>
        <w:ind w:right="220"/>
        <w:spacing w:after="0" w:line="284" w:lineRule="auto"/>
        <w:rPr>
          <w:sz w:val="20"/>
          <w:szCs w:val="20"/>
          <w:color w:val="auto"/>
        </w:rPr>
      </w:pPr>
      <w:r>
        <w:rPr>
          <w:rFonts w:ascii="Arial" w:cs="Arial" w:eastAsia="Arial" w:hAnsi="Arial"/>
          <w:sz w:val="21"/>
          <w:szCs w:val="21"/>
          <w:color w:val="auto"/>
        </w:rPr>
        <w:t>Each of Dekko, Forney and Joyce have established a Conflicts Minerals management system that examines the potential use and source of Conflicts Minerals in product offerings.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Conflict Minerals Policy</w:t>
      </w:r>
    </w:p>
    <w:p>
      <w:pPr>
        <w:spacing w:after="0" w:line="261" w:lineRule="exact"/>
        <w:rPr>
          <w:sz w:val="20"/>
          <w:szCs w:val="20"/>
          <w:color w:val="auto"/>
        </w:rPr>
      </w:pPr>
    </w:p>
    <w:p>
      <w:pPr>
        <w:ind w:right="200"/>
        <w:spacing w:after="0" w:line="262" w:lineRule="auto"/>
        <w:rPr>
          <w:sz w:val="20"/>
          <w:szCs w:val="20"/>
          <w:color w:val="auto"/>
        </w:rPr>
      </w:pPr>
      <w:r>
        <w:rPr>
          <w:rFonts w:ascii="Arial" w:cs="Arial" w:eastAsia="Arial" w:hAnsi="Arial"/>
          <w:sz w:val="21"/>
          <w:szCs w:val="21"/>
          <w:color w:val="auto"/>
        </w:rPr>
        <w:t>As noted above, Dekko, Forney and Joyce adopted policies which are designed to communicate their commitment to responsible sourcing of Conflict Minerals throughout their supply chain for products that they manufacture. The policies discuss the fact that they are putting policies and systems into place to reduce the risk that Conflict Minerals used in their products originate in the Covered Countries. The policies inform suppliers that because they do not source Conflict Minerals directly from miners, smelters or refiners, they will rely on the cooperation of their suppliers in the implementation of their policies and in enabling them to meet their compliance obligations. The policies are published on each of their respective websites.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5.3 Identify and Assess Risk in the Supply Chain</w:t>
      </w:r>
    </w:p>
    <w:p>
      <w:pPr>
        <w:spacing w:after="0" w:line="261" w:lineRule="exact"/>
        <w:rPr>
          <w:sz w:val="20"/>
          <w:szCs w:val="20"/>
          <w:color w:val="auto"/>
        </w:rPr>
      </w:pPr>
    </w:p>
    <w:p>
      <w:pPr>
        <w:ind w:right="140"/>
        <w:spacing w:after="0" w:line="339" w:lineRule="auto"/>
        <w:rPr>
          <w:sz w:val="20"/>
          <w:szCs w:val="20"/>
          <w:color w:val="auto"/>
        </w:rPr>
      </w:pPr>
      <w:r>
        <w:rPr>
          <w:rFonts w:ascii="Arial" w:cs="Arial" w:eastAsia="Arial" w:hAnsi="Arial"/>
          <w:sz w:val="19"/>
          <w:szCs w:val="19"/>
          <w:color w:val="auto"/>
        </w:rPr>
        <w:t>As described above, Dekko, Forney and Joyce conduct a survey of all of their suppliers using the Template to obtain chain of custody declarations from their suppliers. The Template includes questions on the use and origin of Conflict Minerals in their</w:t>
      </w:r>
    </w:p>
    <w:p>
      <w:pPr>
        <w:sectPr>
          <w:pgSz w:w="11900" w:h="16861" w:orient="portrait"/>
          <w:cols w:equalWidth="0" w:num="1">
            <w:col w:w="10900"/>
          </w:cols>
          <w:pgMar w:left="640" w:top="118" w:right="359" w:bottom="0" w:gutter="0" w:footer="0" w:header="0"/>
        </w:sectPr>
      </w:pPr>
    </w:p>
    <w:bookmarkStart w:id="5" w:name="page6"/>
    <w:bookmarkEnd w:id="5"/>
    <w:p>
      <w:pPr>
        <w:ind w:left="320" w:right="40"/>
        <w:spacing w:after="0" w:line="288" w:lineRule="auto"/>
        <w:rPr>
          <w:sz w:val="20"/>
          <w:szCs w:val="20"/>
          <w:color w:val="auto"/>
        </w:rPr>
      </w:pPr>
      <w:r>
        <w:rPr>
          <w:rFonts w:ascii="Arial" w:cs="Arial" w:eastAsia="Arial" w:hAnsi="Arial"/>
          <w:sz w:val="20"/>
          <w:szCs w:val="20"/>
          <w:color w:val="auto"/>
        </w:rPr>
        <w:t>components, supplier engagement with sub-tier suppliers, smelters and points of origin of the Conflict Minerals. To strengthen engagement with suppliers, these manufacturers added a Conflict Minerals clause to their purchase orders in order to communicate the expectations and requirements regarding the sourcing and disclosure of Conflict Minerals.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5.4 Design and Implement a Strategy to Respond to Identified Risks</w:t>
      </w:r>
    </w:p>
    <w:p>
      <w:pPr>
        <w:spacing w:after="0" w:line="261" w:lineRule="exact"/>
        <w:rPr>
          <w:sz w:val="20"/>
          <w:szCs w:val="20"/>
          <w:color w:val="auto"/>
        </w:rPr>
      </w:pPr>
    </w:p>
    <w:p>
      <w:pPr>
        <w:jc w:val="both"/>
        <w:ind w:left="320" w:right="480"/>
        <w:spacing w:after="0" w:line="259" w:lineRule="auto"/>
        <w:rPr>
          <w:sz w:val="20"/>
          <w:szCs w:val="20"/>
          <w:color w:val="auto"/>
        </w:rPr>
      </w:pPr>
      <w:r>
        <w:rPr>
          <w:rFonts w:ascii="Arial" w:cs="Arial" w:eastAsia="Arial" w:hAnsi="Arial"/>
          <w:sz w:val="21"/>
          <w:szCs w:val="21"/>
          <w:color w:val="auto"/>
        </w:rPr>
        <w:t>Smelter and refiner names provided by suppliers were confirmed by comparing them to the information contained on the Responsible Minerals Initiative website. The Company relies on RMI to determine if smelters and refiners reported by its suppliers are conformant with the</w:t>
      </w:r>
    </w:p>
    <w:p>
      <w:pPr>
        <w:ind w:left="320"/>
        <w:spacing w:after="0"/>
        <w:rPr>
          <w:sz w:val="20"/>
          <w:szCs w:val="20"/>
          <w:color w:val="auto"/>
        </w:rPr>
      </w:pPr>
      <w:r>
        <w:rPr>
          <w:rFonts w:ascii="Arial" w:cs="Arial" w:eastAsia="Arial" w:hAnsi="Arial"/>
          <w:sz w:val="21"/>
          <w:szCs w:val="21"/>
          <w:color w:val="auto"/>
        </w:rPr>
        <w:t>Responsible Minerals Assurance Program to validate responsible sourcing.</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5.5 Carry out Independent Third Party Audit of Supply Chain Due Diligence at Identified Points in the Supply Chain</w:t>
      </w:r>
    </w:p>
    <w:p>
      <w:pPr>
        <w:spacing w:after="0" w:line="272" w:lineRule="exact"/>
        <w:rPr>
          <w:sz w:val="20"/>
          <w:szCs w:val="20"/>
          <w:color w:val="auto"/>
        </w:rPr>
      </w:pPr>
    </w:p>
    <w:p>
      <w:pPr>
        <w:ind w:left="320" w:right="100"/>
        <w:spacing w:after="0" w:line="263" w:lineRule="auto"/>
        <w:rPr>
          <w:sz w:val="20"/>
          <w:szCs w:val="20"/>
          <w:color w:val="auto"/>
        </w:rPr>
      </w:pPr>
      <w:r>
        <w:rPr>
          <w:rFonts w:ascii="Arial" w:cs="Arial" w:eastAsia="Arial" w:hAnsi="Arial"/>
          <w:sz w:val="21"/>
          <w:szCs w:val="21"/>
          <w:color w:val="auto"/>
        </w:rPr>
        <w:t>Dekko, Forney and Joyce do not have a direct relationship with smelters or refiners, nor do they perform direct audits of such entities in their supply chain. The Company leverages the audit work conducted by the RMI to comply with the OECD Guidance to conduct independent third-party audits. The RMI uses an independent third-party auditor to identify smelters and refiners that assure sourcing of only conflict-free minerals.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5.6 Report on Supply Chain Due Diligence</w:t>
      </w:r>
    </w:p>
    <w:p>
      <w:pPr>
        <w:spacing w:after="0" w:line="274" w:lineRule="exact"/>
        <w:rPr>
          <w:sz w:val="20"/>
          <w:szCs w:val="20"/>
          <w:color w:val="auto"/>
        </w:rPr>
      </w:pPr>
    </w:p>
    <w:p>
      <w:pPr>
        <w:jc w:val="both"/>
        <w:ind w:left="320" w:right="180"/>
        <w:spacing w:after="0" w:line="268" w:lineRule="auto"/>
        <w:rPr>
          <w:sz w:val="20"/>
          <w:szCs w:val="20"/>
          <w:color w:val="auto"/>
        </w:rPr>
      </w:pPr>
      <w:r>
        <w:rPr>
          <w:rFonts w:ascii="Arial" w:cs="Arial" w:eastAsia="Arial" w:hAnsi="Arial"/>
          <w:sz w:val="21"/>
          <w:szCs w:val="21"/>
          <w:color w:val="auto"/>
        </w:rPr>
        <w:t>The Company’s Form SD and this Conflict Minerals Report are both available on the Company’s website at www.ghco.com. GHCO will file a Form SD with the Securities and Exchange Commission on an annual basis, pursuant to Rule 13p-1 of the Act.</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6. Results of Due Diligence Review-Facilities Used to Process the Necessary Conflict Minerals</w:t>
      </w:r>
    </w:p>
    <w:p>
      <w:pPr>
        <w:spacing w:after="0" w:line="261" w:lineRule="exact"/>
        <w:rPr>
          <w:sz w:val="20"/>
          <w:szCs w:val="20"/>
          <w:color w:val="auto"/>
        </w:rPr>
      </w:pPr>
    </w:p>
    <w:p>
      <w:pPr>
        <w:ind w:left="320"/>
        <w:spacing w:after="0" w:line="272" w:lineRule="auto"/>
        <w:rPr>
          <w:sz w:val="20"/>
          <w:szCs w:val="20"/>
          <w:color w:val="auto"/>
        </w:rPr>
      </w:pPr>
      <w:r>
        <w:rPr>
          <w:rFonts w:ascii="Arial" w:cs="Arial" w:eastAsia="Arial" w:hAnsi="Arial"/>
          <w:sz w:val="20"/>
          <w:szCs w:val="20"/>
          <w:color w:val="auto"/>
        </w:rPr>
        <w:t>As discussed above, Dekko, Forney and Joyce solicited all of their applicable (3TG) suppliers to gather information by means of the Template regarding the sourcing of 3TG in the products supplied to them. Based on the information provided by suppliers in the Templates, the smelters used to process necessary conflict minerals include those listed on the attached Schedule 1. With respect to those smelters that were identified by suppliers in their Template, the supplier’s reported validation status was confirmed by comparing it to the information contained on the RMI website. However, because some suppliers did not identify the smelters or refiners used for a particular component or product or responded that the source of the 3TGs contained in products supplied to the Company's subsidiaries was unknown, or provided data only with respect to that individual supplier’s overall 3TG sourcing, without specifying whether such 3TG was used in parts or components supplied to the Company's subsidiaries and because due diligence efforts were unable to identify all such smelters or refiners, the Company is unable to identify with certainty the specific facilities used to process the 3TG in the Company’s products and whether the 3TG in these products is from recycled or scrap sources. As a result, the Company does not have sufficient information to conclusively determine the identity of all of the smelters from which its suppliers source 3TG or the countries of origin of 3TG in the products supplied to the Company. As permitted by guidance from the SEC staff, the Company did not conduct an independent private sector audit of its supply chain due diligence but will do so in the future if, and to the extent, required by the SEC’s rules.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7. Steps to Mitigate Risk and Improve Due Diligence</w:t>
      </w:r>
    </w:p>
    <w:p>
      <w:pPr>
        <w:spacing w:after="0" w:line="261" w:lineRule="exact"/>
        <w:rPr>
          <w:sz w:val="20"/>
          <w:szCs w:val="20"/>
          <w:color w:val="auto"/>
        </w:rPr>
      </w:pPr>
    </w:p>
    <w:p>
      <w:pPr>
        <w:ind w:left="320" w:right="40"/>
        <w:spacing w:after="0" w:line="258" w:lineRule="auto"/>
        <w:rPr>
          <w:sz w:val="20"/>
          <w:szCs w:val="20"/>
          <w:color w:val="auto"/>
        </w:rPr>
      </w:pPr>
      <w:r>
        <w:rPr>
          <w:rFonts w:ascii="Arial" w:cs="Arial" w:eastAsia="Arial" w:hAnsi="Arial"/>
          <w:sz w:val="21"/>
          <w:szCs w:val="21"/>
          <w:color w:val="auto"/>
        </w:rPr>
        <w:t>The Company is working to strengthen its commitment to the responsible sourcing of conflict minerals. Dekko, Forney and Joyce will continue to include in new purchase orders or contracts, specific language that requires suppliers to cooperate with them by providing information about the supplier’s source of Conflict Minerals and smelters. In addition, the Company will continue working with suppliers to obtain 3TG sourcing information, strengthen procedures to engage with manufacturers and distributors to obtain accurate and complete information about their supply chains and work to increase response rates and the quality of</w:t>
      </w:r>
    </w:p>
    <w:p>
      <w:pPr>
        <w:spacing w:after="0" w:line="2" w:lineRule="exact"/>
        <w:rPr>
          <w:sz w:val="20"/>
          <w:szCs w:val="20"/>
          <w:color w:val="auto"/>
        </w:rPr>
      </w:pPr>
    </w:p>
    <w:p>
      <w:pPr>
        <w:ind w:left="320" w:right="40"/>
        <w:spacing w:after="0" w:line="259" w:lineRule="auto"/>
        <w:rPr>
          <w:sz w:val="20"/>
          <w:szCs w:val="20"/>
          <w:color w:val="auto"/>
        </w:rPr>
      </w:pPr>
      <w:r>
        <w:rPr>
          <w:rFonts w:ascii="Arial" w:cs="Arial" w:eastAsia="Arial" w:hAnsi="Arial"/>
          <w:sz w:val="21"/>
          <w:szCs w:val="21"/>
          <w:color w:val="auto"/>
        </w:rPr>
        <w:t>supplier provided smelter lists. Cooperation with respect to 3TG sourcing by the Company’s upstream suppliers, as well as the specification of conflict-free OEM supply sources by customers, will ultimately determine the Company’s ability to mitigate risk, as well as be a factor in awarding future purchases. Dekko, Forney and Joyce will continue to work with suppliers as needed to better communicate the requirements of the Conflicts Mineral Rule and to increase transparency of mineral sourcing.</w:t>
      </w:r>
    </w:p>
    <w:p>
      <w:pPr>
        <w:sectPr>
          <w:pgSz w:w="11900" w:h="16838" w:orient="portrait"/>
          <w:cols w:equalWidth="0" w:num="1">
            <w:col w:w="11220"/>
          </w:cols>
          <w:pgMar w:left="320" w:top="131" w:right="35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 Used to Process Conflict Minerals</w:t>
      </w:r>
    </w:p>
    <w:p>
      <w:pPr>
        <w:sectPr>
          <w:pgSz w:w="11900" w:h="16838" w:orient="portrait"/>
          <w:cols w:equalWidth="0" w:num="1">
            <w:col w:w="11220"/>
          </w:cols>
          <w:pgMar w:left="320" w:top="131" w:right="359" w:bottom="1440" w:gutter="0" w:footer="0" w:header="0"/>
          <w:type w:val="continuous"/>
        </w:sectPr>
      </w:pPr>
    </w:p>
    <w:bookmarkStart w:id="6" w:name="page7"/>
    <w:bookmarkEnd w:id="6"/>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900" w:type="dxa"/>
            <w:vAlign w:val="bottom"/>
            <w:tcBorders>
              <w:top w:val="single" w:sz="8" w:color="auto"/>
              <w:left w:val="single" w:sz="8" w:color="auto"/>
              <w:right w:val="single" w:sz="8" w:color="auto"/>
            </w:tcBorders>
          </w:tcPr>
          <w:p>
            <w:pPr>
              <w:spacing w:after="0"/>
              <w:rPr>
                <w:sz w:val="13"/>
                <w:szCs w:val="13"/>
                <w:color w:val="auto"/>
              </w:rPr>
            </w:pPr>
          </w:p>
        </w:tc>
        <w:tc>
          <w:tcPr>
            <w:tcW w:w="12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Smelter</w:t>
            </w:r>
          </w:p>
        </w:tc>
        <w:tc>
          <w:tcPr>
            <w:tcW w:w="2260" w:type="dxa"/>
            <w:vAlign w:val="bottom"/>
            <w:tcBorders>
              <w:top w:val="single" w:sz="8" w:color="auto"/>
              <w:right w:val="single" w:sz="8" w:color="auto"/>
            </w:tcBorders>
          </w:tcPr>
          <w:p>
            <w:pPr>
              <w:spacing w:after="0"/>
              <w:rPr>
                <w:sz w:val="13"/>
                <w:szCs w:val="13"/>
                <w:color w:val="auto"/>
              </w:rPr>
            </w:pPr>
          </w:p>
        </w:tc>
        <w:tc>
          <w:tcPr>
            <w:tcW w:w="220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line="151" w:lineRule="exact"/>
              <w:rPr>
                <w:sz w:val="20"/>
                <w:szCs w:val="20"/>
                <w:color w:val="auto"/>
              </w:rPr>
            </w:pPr>
            <w:r>
              <w:rPr>
                <w:rFonts w:ascii="Arial" w:cs="Arial" w:eastAsia="Arial" w:hAnsi="Arial"/>
                <w:sz w:val="14"/>
                <w:szCs w:val="14"/>
                <w:b w:val="1"/>
                <w:bCs w:val="1"/>
                <w:color w:val="auto"/>
                <w:w w:val="97"/>
              </w:rPr>
              <w:t>Whether Smelter</w:t>
            </w:r>
          </w:p>
        </w:tc>
        <w:tc>
          <w:tcPr>
            <w:tcW w:w="1180" w:type="dxa"/>
            <w:vAlign w:val="bottom"/>
            <w:tcBorders>
              <w:top w:val="single" w:sz="8" w:color="auto"/>
              <w:right w:val="single" w:sz="8" w:color="auto"/>
            </w:tcBorders>
          </w:tcPr>
          <w:p>
            <w:pPr>
              <w:spacing w:after="0"/>
              <w:rPr>
                <w:sz w:val="13"/>
                <w:szCs w:val="13"/>
                <w:color w:val="auto"/>
              </w:rPr>
            </w:pPr>
          </w:p>
        </w:tc>
        <w:tc>
          <w:tcPr>
            <w:tcW w:w="980" w:type="dxa"/>
            <w:vAlign w:val="bottom"/>
            <w:tcBorders>
              <w:top w:val="single" w:sz="8" w:color="auto"/>
              <w:right w:val="single" w:sz="8" w:color="auto"/>
            </w:tcBorders>
          </w:tcPr>
          <w:p>
            <w:pPr>
              <w:ind w:left="20"/>
              <w:spacing w:after="0" w:line="151" w:lineRule="exact"/>
              <w:rPr>
                <w:sz w:val="20"/>
                <w:szCs w:val="20"/>
                <w:color w:val="auto"/>
              </w:rPr>
            </w:pPr>
            <w:r>
              <w:rPr>
                <w:rFonts w:ascii="Arial" w:cs="Arial" w:eastAsia="Arial" w:hAnsi="Arial"/>
                <w:sz w:val="14"/>
                <w:szCs w:val="14"/>
                <w:b w:val="1"/>
                <w:bCs w:val="1"/>
                <w:color w:val="auto"/>
              </w:rPr>
              <w:t>Whether 3TG</w:t>
            </w:r>
          </w:p>
        </w:tc>
        <w:tc>
          <w:tcPr>
            <w:tcW w:w="12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226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Location in</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w w:val="99"/>
              </w:rPr>
              <w:t>RMAP Validation</w:t>
            </w:r>
          </w:p>
        </w:tc>
        <w:tc>
          <w:tcPr>
            <w:tcW w:w="980" w:type="dxa"/>
            <w:vAlign w:val="bottom"/>
            <w:tcBorders>
              <w:right w:val="single" w:sz="8" w:color="auto"/>
            </w:tcBorders>
          </w:tcPr>
          <w:p>
            <w:pPr>
              <w:ind w:left="20"/>
              <w:spacing w:after="0" w:line="143" w:lineRule="exact"/>
              <w:rPr>
                <w:sz w:val="20"/>
                <w:szCs w:val="20"/>
                <w:color w:val="auto"/>
              </w:rPr>
            </w:pPr>
            <w:r>
              <w:rPr>
                <w:rFonts w:ascii="Arial" w:cs="Arial" w:eastAsia="Arial" w:hAnsi="Arial"/>
                <w:sz w:val="14"/>
                <w:szCs w:val="14"/>
                <w:b w:val="1"/>
                <w:bCs w:val="1"/>
                <w:color w:val="auto"/>
              </w:rPr>
              <w:t>Mined in</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Mine Location(s), if</w:t>
            </w:r>
          </w:p>
        </w:tc>
        <w:tc>
          <w:tcPr>
            <w:tcW w:w="0" w:type="dxa"/>
            <w:vAlign w:val="bottom"/>
          </w:tcPr>
          <w:p>
            <w:pPr>
              <w:spacing w:after="0"/>
              <w:rPr>
                <w:sz w:val="1"/>
                <w:szCs w:val="1"/>
                <w:color w:val="auto"/>
              </w:rPr>
            </w:pPr>
          </w:p>
        </w:tc>
      </w:tr>
      <w:tr>
        <w:trPr>
          <w:trHeight w:val="138"/>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3TG Metal</w:t>
            </w:r>
          </w:p>
        </w:tc>
        <w:tc>
          <w:tcPr>
            <w:tcW w:w="1260" w:type="dxa"/>
            <w:vAlign w:val="bottom"/>
            <w:tcBorders>
              <w:right w:val="single" w:sz="8" w:color="auto"/>
            </w:tcBorders>
          </w:tcPr>
          <w:p>
            <w:pPr>
              <w:ind w:left="20"/>
              <w:spacing w:after="0" w:line="138" w:lineRule="exact"/>
              <w:rPr>
                <w:sz w:val="20"/>
                <w:szCs w:val="20"/>
                <w:color w:val="auto"/>
              </w:rPr>
            </w:pPr>
            <w:r>
              <w:rPr>
                <w:rFonts w:ascii="Arial" w:cs="Arial" w:eastAsia="Arial" w:hAnsi="Arial"/>
                <w:sz w:val="14"/>
                <w:szCs w:val="14"/>
                <w:b w:val="1"/>
                <w:bCs w:val="1"/>
                <w:color w:val="auto"/>
              </w:rPr>
              <w:t>Identification</w:t>
            </w:r>
          </w:p>
        </w:tc>
        <w:tc>
          <w:tcPr>
            <w:tcW w:w="2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Smelter Name</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rPr>
              <w:t>Smelter Facility Location</w:t>
            </w:r>
          </w:p>
        </w:tc>
        <w:tc>
          <w:tcPr>
            <w:tcW w:w="112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b w:val="1"/>
                <w:bCs w:val="1"/>
                <w:color w:val="auto"/>
              </w:rPr>
              <w:t>Covered</w:t>
            </w:r>
          </w:p>
        </w:tc>
        <w:tc>
          <w:tcPr>
            <w:tcW w:w="118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tcPr>
          <w:p>
            <w:pPr>
              <w:ind w:left="20"/>
              <w:spacing w:after="0" w:line="138" w:lineRule="exact"/>
              <w:rPr>
                <w:sz w:val="20"/>
                <w:szCs w:val="20"/>
                <w:color w:val="auto"/>
              </w:rPr>
            </w:pPr>
            <w:r>
              <w:rPr>
                <w:rFonts w:ascii="Arial" w:cs="Arial" w:eastAsia="Arial" w:hAnsi="Arial"/>
                <w:sz w:val="14"/>
                <w:szCs w:val="14"/>
                <w:b w:val="1"/>
                <w:bCs w:val="1"/>
                <w:color w:val="auto"/>
              </w:rPr>
              <w:t>Covered</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0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(RMI)</w:t>
            </w:r>
          </w:p>
        </w:tc>
        <w:tc>
          <w:tcPr>
            <w:tcW w:w="2260" w:type="dxa"/>
            <w:vAlign w:val="bottom"/>
            <w:tcBorders>
              <w:right w:val="single" w:sz="8" w:color="auto"/>
            </w:tcBorders>
            <w:vMerge w:val="continue"/>
          </w:tcPr>
          <w:p>
            <w:pPr>
              <w:spacing w:after="0"/>
              <w:rPr>
                <w:sz w:val="16"/>
                <w:szCs w:val="16"/>
                <w:color w:val="auto"/>
              </w:rPr>
            </w:pPr>
          </w:p>
        </w:tc>
        <w:tc>
          <w:tcPr>
            <w:tcW w:w="2200" w:type="dxa"/>
            <w:vAlign w:val="bottom"/>
            <w:tcBorders>
              <w:right w:val="single" w:sz="8" w:color="auto"/>
            </w:tcBorders>
            <w:vMerge w:val="continue"/>
          </w:tcPr>
          <w:p>
            <w:pPr>
              <w:spacing w:after="0"/>
              <w:rPr>
                <w:sz w:val="16"/>
                <w:szCs w:val="16"/>
                <w:color w:val="auto"/>
              </w:rPr>
            </w:pP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Countries</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Status</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Country</w:t>
            </w: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right w:val="single" w:sz="8" w:color="auto"/>
            </w:tcBorders>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2260" w:type="dxa"/>
            <w:vAlign w:val="bottom"/>
            <w:tcBorders>
              <w:right w:val="single" w:sz="8" w:color="auto"/>
            </w:tcBorders>
          </w:tcPr>
          <w:p>
            <w:pPr>
              <w:spacing w:after="0"/>
              <w:rPr>
                <w:sz w:val="2"/>
                <w:szCs w:val="2"/>
                <w:color w:val="auto"/>
              </w:rPr>
            </w:pPr>
          </w:p>
        </w:tc>
        <w:tc>
          <w:tcPr>
            <w:tcW w:w="2200" w:type="dxa"/>
            <w:vAlign w:val="bottom"/>
            <w:tcBorders>
              <w:right w:val="single" w:sz="8" w:color="auto"/>
            </w:tcBorders>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2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CID000092</w:t>
            </w:r>
          </w:p>
        </w:tc>
        <w:tc>
          <w:tcPr>
            <w:tcW w:w="2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Asaka Riken Co., Ltd.</w:t>
            </w:r>
          </w:p>
        </w:tc>
        <w:tc>
          <w:tcPr>
            <w:tcW w:w="2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top w:val="single" w:sz="8" w:color="auto"/>
              <w:bottom w:val="single" w:sz="8" w:color="auto"/>
              <w:right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w w:val="99"/>
              </w:rPr>
              <w:t>Changsha South Tantalum Niobium</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CID000211</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CID000291</w:t>
            </w:r>
          </w:p>
        </w:tc>
        <w:tc>
          <w:tcPr>
            <w:tcW w:w="2260" w:type="dxa"/>
            <w:vAlign w:val="bottom"/>
            <w:tcBorders>
              <w:right w:val="single" w:sz="8" w:color="auto"/>
            </w:tcBorders>
          </w:tcPr>
          <w:p>
            <w:pPr>
              <w:ind w:left="20"/>
              <w:spacing w:after="0" w:line="128" w:lineRule="exact"/>
              <w:rPr>
                <w:sz w:val="20"/>
                <w:szCs w:val="20"/>
                <w:color w:val="auto"/>
              </w:rPr>
            </w:pPr>
            <w:r>
              <w:rPr>
                <w:rFonts w:ascii="Arial" w:cs="Arial" w:eastAsia="Arial" w:hAnsi="Arial"/>
                <w:sz w:val="14"/>
                <w:szCs w:val="14"/>
                <w:color w:val="auto"/>
                <w:w w:val="99"/>
              </w:rPr>
              <w:t>Guangdong Rising Rare Metals-EO</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Materials Ltd.</w:t>
            </w:r>
          </w:p>
        </w:tc>
        <w:tc>
          <w:tcPr>
            <w:tcW w:w="2200" w:type="dxa"/>
            <w:vAlign w:val="bottom"/>
            <w:tcBorders>
              <w:right w:val="single" w:sz="8" w:color="auto"/>
            </w:tcBorders>
            <w:vMerge w:val="continue"/>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1180" w:type="dxa"/>
            <w:vAlign w:val="bottom"/>
            <w:tcBorders>
              <w:right w:val="single" w:sz="8" w:color="auto"/>
            </w:tcBorders>
            <w:vMerge w:val="continue"/>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CID000456</w:t>
            </w:r>
          </w:p>
        </w:tc>
        <w:tc>
          <w:tcPr>
            <w:tcW w:w="2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Exotech Inc.</w:t>
            </w:r>
          </w:p>
        </w:tc>
        <w:tc>
          <w:tcPr>
            <w:tcW w:w="2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CID000460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F&amp;X Electro-Materials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XIMEI RESOURCES</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CID000616</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(GUANGDONG) LIMITED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CID000914</w:t>
            </w:r>
          </w:p>
        </w:tc>
        <w:tc>
          <w:tcPr>
            <w:tcW w:w="2260" w:type="dxa"/>
            <w:vAlign w:val="bottom"/>
            <w:tcBorders>
              <w:right w:val="single" w:sz="8" w:color="auto"/>
            </w:tcBorders>
          </w:tcPr>
          <w:p>
            <w:pPr>
              <w:ind w:left="20"/>
              <w:spacing w:after="0" w:line="128" w:lineRule="exact"/>
              <w:rPr>
                <w:sz w:val="20"/>
                <w:szCs w:val="20"/>
                <w:color w:val="auto"/>
              </w:rPr>
            </w:pPr>
            <w:r>
              <w:rPr>
                <w:rFonts w:ascii="Arial" w:cs="Arial" w:eastAsia="Arial" w:hAnsi="Arial"/>
                <w:sz w:val="14"/>
                <w:szCs w:val="14"/>
                <w:color w:val="auto"/>
              </w:rPr>
              <w:t>JiuJiang JinXin Nonferrous Metals</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Yes</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200" w:type="dxa"/>
            <w:vAlign w:val="bottom"/>
            <w:tcBorders>
              <w:right w:val="single" w:sz="8" w:color="auto"/>
            </w:tcBorders>
            <w:vMerge w:val="continue"/>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1180" w:type="dxa"/>
            <w:vAlign w:val="bottom"/>
            <w:tcBorders>
              <w:right w:val="single" w:sz="8" w:color="auto"/>
            </w:tcBorders>
            <w:vMerge w:val="continue"/>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CID000917</w:t>
            </w:r>
          </w:p>
        </w:tc>
        <w:tc>
          <w:tcPr>
            <w:tcW w:w="2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Jiujiang Tanbre Co., Ltd.</w:t>
            </w:r>
          </w:p>
        </w:tc>
        <w:tc>
          <w:tcPr>
            <w:tcW w:w="2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CID001076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AMG Brazil</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CID001163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5"/>
              </w:rPr>
              <w:t>Metallurgical Products India Pvt.,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CID001175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Mineracao Taboca S.A.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CID001192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8"/>
              </w:rPr>
              <w:t>Mitsui Mining and Smelting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CID001200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NPM Silmet AS</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ESTONIA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CID001277</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rPr>
              <w:t>Ningxia Orient Tantalum Industry</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Yes</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200" w:type="dxa"/>
            <w:vAlign w:val="bottom"/>
            <w:tcBorders>
              <w:right w:val="single" w:sz="8" w:color="auto"/>
            </w:tcBorders>
            <w:vMerge w:val="continue"/>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1180" w:type="dxa"/>
            <w:vAlign w:val="bottom"/>
            <w:tcBorders>
              <w:right w:val="single" w:sz="8" w:color="auto"/>
            </w:tcBorders>
            <w:vMerge w:val="continue"/>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CID001508</w:t>
            </w:r>
          </w:p>
        </w:tc>
        <w:tc>
          <w:tcPr>
            <w:tcW w:w="2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QuantumClean</w:t>
            </w:r>
          </w:p>
        </w:tc>
        <w:tc>
          <w:tcPr>
            <w:tcW w:w="2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CID001522</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rPr>
              <w:t>Yanling Jincheng Tantalum &amp;</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Yes</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Niobium Co., Ltd.</w:t>
            </w:r>
          </w:p>
        </w:tc>
        <w:tc>
          <w:tcPr>
            <w:tcW w:w="2200" w:type="dxa"/>
            <w:vAlign w:val="bottom"/>
            <w:tcBorders>
              <w:right w:val="single" w:sz="8" w:color="auto"/>
            </w:tcBorders>
            <w:vMerge w:val="continue"/>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1180" w:type="dxa"/>
            <w:vAlign w:val="bottom"/>
            <w:tcBorders>
              <w:right w:val="single" w:sz="8" w:color="auto"/>
            </w:tcBorders>
            <w:vMerge w:val="continue"/>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CID001769</w:t>
            </w:r>
          </w:p>
        </w:tc>
        <w:tc>
          <w:tcPr>
            <w:tcW w:w="2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Solikamsk Magnesium Works OAO</w:t>
            </w:r>
          </w:p>
        </w:tc>
        <w:tc>
          <w:tcPr>
            <w:tcW w:w="2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RUSSIAN FEDERATION</w:t>
            </w:r>
          </w:p>
        </w:tc>
        <w:tc>
          <w:tcPr>
            <w:tcW w:w="11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top w:val="single" w:sz="8" w:color="auto"/>
              <w:bottom w:val="single" w:sz="8" w:color="auto"/>
              <w:right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CID001869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Taki Chemical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CID001891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Telex Metals</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CID001969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Ulba Metallurgical Plant JSC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KAZAKHSTAN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CID002492</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rPr>
              <w:t>Hengyang King Xing Lifeng New</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Yes</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Materials Co., Ltd.</w:t>
            </w:r>
          </w:p>
        </w:tc>
        <w:tc>
          <w:tcPr>
            <w:tcW w:w="2200" w:type="dxa"/>
            <w:vAlign w:val="bottom"/>
            <w:tcBorders>
              <w:right w:val="single" w:sz="8" w:color="auto"/>
            </w:tcBorders>
            <w:vMerge w:val="continue"/>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1180" w:type="dxa"/>
            <w:vAlign w:val="bottom"/>
            <w:tcBorders>
              <w:right w:val="single" w:sz="8" w:color="auto"/>
            </w:tcBorders>
            <w:vMerge w:val="continue"/>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CID002504</w:t>
            </w:r>
          </w:p>
        </w:tc>
        <w:tc>
          <w:tcPr>
            <w:tcW w:w="2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 Block Metals, LLC</w:t>
            </w:r>
          </w:p>
        </w:tc>
        <w:tc>
          <w:tcPr>
            <w:tcW w:w="2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FIR Metals &amp; Resource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Jiujiang Zhongao Tantalum &amp;</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CID002506</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Niobium Co., 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CID002508</w:t>
            </w:r>
          </w:p>
        </w:tc>
        <w:tc>
          <w:tcPr>
            <w:tcW w:w="2260" w:type="dxa"/>
            <w:vAlign w:val="bottom"/>
            <w:tcBorders>
              <w:right w:val="single" w:sz="8" w:color="auto"/>
            </w:tcBorders>
          </w:tcPr>
          <w:p>
            <w:pPr>
              <w:ind w:left="20"/>
              <w:spacing w:after="0" w:line="128" w:lineRule="exact"/>
              <w:rPr>
                <w:sz w:val="20"/>
                <w:szCs w:val="20"/>
                <w:color w:val="auto"/>
              </w:rPr>
            </w:pPr>
            <w:r>
              <w:rPr>
                <w:rFonts w:ascii="Arial" w:cs="Arial" w:eastAsia="Arial" w:hAnsi="Arial"/>
                <w:sz w:val="14"/>
                <w:szCs w:val="14"/>
                <w:color w:val="auto"/>
              </w:rPr>
              <w:t>XinXing HaoRong Electronic</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Yes</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Material Co., Ltd.</w:t>
            </w:r>
          </w:p>
        </w:tc>
        <w:tc>
          <w:tcPr>
            <w:tcW w:w="2200" w:type="dxa"/>
            <w:vAlign w:val="bottom"/>
            <w:tcBorders>
              <w:right w:val="single" w:sz="8" w:color="auto"/>
            </w:tcBorders>
            <w:vMerge w:val="continue"/>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1180" w:type="dxa"/>
            <w:vAlign w:val="bottom"/>
            <w:tcBorders>
              <w:right w:val="single" w:sz="8" w:color="auto"/>
            </w:tcBorders>
            <w:vMerge w:val="continue"/>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00" w:type="dxa"/>
            <w:vAlign w:val="bottom"/>
            <w:tcBorders>
              <w:top w:val="single" w:sz="8" w:color="auto"/>
              <w:left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2260" w:type="dxa"/>
            <w:vAlign w:val="bottom"/>
            <w:tcBorders>
              <w:top w:val="single" w:sz="8" w:color="auto"/>
              <w:right w:val="single" w:sz="8" w:color="auto"/>
            </w:tcBorders>
          </w:tcPr>
          <w:p>
            <w:pPr>
              <w:ind w:left="20"/>
              <w:spacing w:after="0" w:line="142" w:lineRule="exact"/>
              <w:rPr>
                <w:sz w:val="20"/>
                <w:szCs w:val="20"/>
                <w:color w:val="auto"/>
              </w:rPr>
            </w:pPr>
            <w:r>
              <w:rPr>
                <w:rFonts w:ascii="Arial" w:cs="Arial" w:eastAsia="Arial" w:hAnsi="Arial"/>
                <w:sz w:val="14"/>
                <w:szCs w:val="14"/>
                <w:color w:val="auto"/>
                <w:w w:val="97"/>
              </w:rPr>
              <w:t>Jiangxi Dinghai Tantalum &amp; Niobium</w:t>
            </w:r>
          </w:p>
        </w:tc>
        <w:tc>
          <w:tcPr>
            <w:tcW w:w="220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CID002512</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CID002539</w:t>
            </w:r>
          </w:p>
        </w:tc>
        <w:tc>
          <w:tcPr>
            <w:tcW w:w="2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KEMET de Mexico</w:t>
            </w:r>
          </w:p>
        </w:tc>
        <w:tc>
          <w:tcPr>
            <w:tcW w:w="2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MEXICO</w:t>
            </w:r>
          </w:p>
        </w:tc>
        <w:tc>
          <w:tcPr>
            <w:tcW w:w="11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TANIOBIS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THAILAND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TANIOBIS GmbH</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H.C. Starck Hermsdorf GmbH</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H.C. Starck Inc.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TANIOBIS Japan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TANIOBIS Smelting GmbH &amp; Co.</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CID002550</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KG</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right w:val="single" w:sz="8" w:color="auto"/>
            </w:tcBorders>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2260" w:type="dxa"/>
            <w:vAlign w:val="bottom"/>
            <w:tcBorders>
              <w:right w:val="single" w:sz="8" w:color="auto"/>
            </w:tcBorders>
          </w:tcPr>
          <w:p>
            <w:pPr>
              <w:spacing w:after="0"/>
              <w:rPr>
                <w:sz w:val="2"/>
                <w:szCs w:val="2"/>
                <w:color w:val="auto"/>
              </w:rPr>
            </w:pPr>
          </w:p>
        </w:tc>
        <w:tc>
          <w:tcPr>
            <w:tcW w:w="2200" w:type="dxa"/>
            <w:vAlign w:val="bottom"/>
            <w:tcBorders>
              <w:right w:val="single" w:sz="8" w:color="auto"/>
            </w:tcBorders>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2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CID002557</w:t>
            </w:r>
          </w:p>
        </w:tc>
        <w:tc>
          <w:tcPr>
            <w:tcW w:w="2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9"/>
              </w:rPr>
              <w:t>Global Advanced Metals Boyertown</w:t>
            </w:r>
          </w:p>
        </w:tc>
        <w:tc>
          <w:tcPr>
            <w:tcW w:w="2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CID002558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Global Advanced Metals Aizu</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CID002568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KEMET Blue Powder</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CID002707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Resind Industria e Comercio Ltda.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CID002842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9"/>
              </w:rPr>
              <w:t>Jiangxi Tuohong New Raw Material</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CID002847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 Materials</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NORTH MACEDONIA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CID003191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5"/>
              </w:rPr>
              <w:t>Jiujiang Janny New Material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CID003402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CP Metals Inc.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CID003926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5D Production OU</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ESTONIA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Chenzhou Yunxiang Mining and</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CID000228</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Metallurgy Co., 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CID000244</w:t>
            </w:r>
          </w:p>
        </w:tc>
        <w:tc>
          <w:tcPr>
            <w:tcW w:w="2260" w:type="dxa"/>
            <w:vAlign w:val="bottom"/>
            <w:tcBorders>
              <w:right w:val="single" w:sz="8" w:color="auto"/>
            </w:tcBorders>
          </w:tcPr>
          <w:p>
            <w:pPr>
              <w:ind w:left="20"/>
              <w:spacing w:after="0" w:line="128" w:lineRule="exact"/>
              <w:rPr>
                <w:sz w:val="20"/>
                <w:szCs w:val="20"/>
                <w:color w:val="auto"/>
              </w:rPr>
            </w:pPr>
            <w:r>
              <w:rPr>
                <w:rFonts w:ascii="Arial" w:cs="Arial" w:eastAsia="Arial" w:hAnsi="Arial"/>
                <w:sz w:val="14"/>
                <w:szCs w:val="14"/>
                <w:color w:val="auto"/>
                <w:w w:val="96"/>
              </w:rPr>
              <w:t>Jiangxi Ketai Advanced Material Co.,</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200" w:type="dxa"/>
            <w:vAlign w:val="bottom"/>
            <w:tcBorders>
              <w:right w:val="single" w:sz="8" w:color="auto"/>
            </w:tcBorders>
            <w:vMerge w:val="continue"/>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CID000278</w:t>
            </w:r>
          </w:p>
        </w:tc>
        <w:tc>
          <w:tcPr>
            <w:tcW w:w="2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CNMC (Guangxi) PGMA Co., Ltd.</w:t>
            </w:r>
          </w:p>
        </w:tc>
        <w:tc>
          <w:tcPr>
            <w:tcW w:w="2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top w:val="single" w:sz="8" w:color="auto"/>
              <w:bottom w:val="single" w:sz="8" w:color="auto"/>
              <w:right w:val="single" w:sz="8" w:color="auto"/>
            </w:tcBorders>
          </w:tcPr>
          <w:p>
            <w:pPr>
              <w:spacing w:after="0"/>
              <w:rPr>
                <w:sz w:val="16"/>
                <w:szCs w:val="16"/>
                <w:color w:val="auto"/>
              </w:rPr>
            </w:pPr>
          </w:p>
        </w:tc>
        <w:tc>
          <w:tcPr>
            <w:tcW w:w="980" w:type="dxa"/>
            <w:vAlign w:val="bottom"/>
            <w:tcBorders>
              <w:top w:val="single" w:sz="8" w:color="auto"/>
              <w:bottom w:val="single" w:sz="8" w:color="auto"/>
              <w:right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CID000292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Alpha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CID000306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CV Gita Pesona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CID000309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Aries Kencana Sejahtera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CID000313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Premium Tin Indonesia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CID000315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CV United Smelting</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CID000402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Dowa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CID000438</w:t>
            </w:r>
          </w:p>
        </w:tc>
        <w:tc>
          <w:tcPr>
            <w:tcW w:w="2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EM Vinto</w:t>
            </w:r>
          </w:p>
        </w:tc>
        <w:tc>
          <w:tcPr>
            <w:tcW w:w="2200" w:type="dxa"/>
            <w:vAlign w:val="bottom"/>
            <w:tcBorders>
              <w:right w:val="single" w:sz="8" w:color="auto"/>
            </w:tcBorders>
          </w:tcPr>
          <w:p>
            <w:pPr>
              <w:spacing w:after="0" w:line="134" w:lineRule="exact"/>
              <w:rPr>
                <w:sz w:val="20"/>
                <w:szCs w:val="20"/>
                <w:color w:val="auto"/>
              </w:rPr>
            </w:pPr>
            <w:r>
              <w:rPr>
                <w:rFonts w:ascii="Arial" w:cs="Arial" w:eastAsia="Arial" w:hAnsi="Arial"/>
                <w:sz w:val="14"/>
                <w:szCs w:val="14"/>
                <w:color w:val="auto"/>
              </w:rPr>
              <w:t>BOLIVIA (PLURINATIONAL</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Yes</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vMerge w:val="continue"/>
          </w:tcPr>
          <w:p>
            <w:pPr>
              <w:spacing w:after="0"/>
              <w:rPr>
                <w:sz w:val="16"/>
                <w:szCs w:val="16"/>
                <w:color w:val="auto"/>
              </w:rPr>
            </w:pP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STATE OF)</w:t>
            </w:r>
          </w:p>
        </w:tc>
        <w:tc>
          <w:tcPr>
            <w:tcW w:w="1120" w:type="dxa"/>
            <w:vAlign w:val="bottom"/>
            <w:tcBorders>
              <w:right w:val="single" w:sz="8" w:color="auto"/>
            </w:tcBorders>
            <w:vMerge w:val="continue"/>
          </w:tcPr>
          <w:p>
            <w:pPr>
              <w:spacing w:after="0"/>
              <w:rPr>
                <w:sz w:val="16"/>
                <w:szCs w:val="16"/>
                <w:color w:val="auto"/>
              </w:rPr>
            </w:pPr>
          </w:p>
        </w:tc>
        <w:tc>
          <w:tcPr>
            <w:tcW w:w="1180" w:type="dxa"/>
            <w:vAlign w:val="bottom"/>
            <w:tcBorders>
              <w:right w:val="single" w:sz="8" w:color="auto"/>
            </w:tcBorders>
            <w:vMerge w:val="continue"/>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CID000448</w:t>
            </w:r>
          </w:p>
        </w:tc>
        <w:tc>
          <w:tcPr>
            <w:tcW w:w="2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Estanho de Rondonia S.A.</w:t>
            </w:r>
          </w:p>
        </w:tc>
        <w:tc>
          <w:tcPr>
            <w:tcW w:w="2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11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top w:val="single" w:sz="8" w:color="auto"/>
              <w:bottom w:val="single" w:sz="8" w:color="auto"/>
              <w:right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CID000468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Fenix Metals</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POLAND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w w:val="97"/>
              </w:rPr>
              <w:t>Gejiu Non-Ferrous Metal Processing</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CID000538</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CID000555</w:t>
            </w:r>
          </w:p>
        </w:tc>
        <w:tc>
          <w:tcPr>
            <w:tcW w:w="2260" w:type="dxa"/>
            <w:vAlign w:val="bottom"/>
            <w:tcBorders>
              <w:right w:val="single" w:sz="8" w:color="auto"/>
            </w:tcBorders>
          </w:tcPr>
          <w:p>
            <w:pPr>
              <w:ind w:left="20"/>
              <w:spacing w:after="0" w:line="128" w:lineRule="exact"/>
              <w:rPr>
                <w:sz w:val="20"/>
                <w:szCs w:val="20"/>
                <w:color w:val="auto"/>
              </w:rPr>
            </w:pPr>
            <w:r>
              <w:rPr>
                <w:rFonts w:ascii="Arial" w:cs="Arial" w:eastAsia="Arial" w:hAnsi="Arial"/>
                <w:sz w:val="14"/>
                <w:szCs w:val="14"/>
                <w:color w:val="auto"/>
              </w:rPr>
              <w:t>Gejiu Zili Mining And Metallurgy</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200" w:type="dxa"/>
            <w:vAlign w:val="bottom"/>
            <w:tcBorders>
              <w:right w:val="single" w:sz="8" w:color="auto"/>
            </w:tcBorders>
            <w:vMerge w:val="continue"/>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1180" w:type="dxa"/>
            <w:vAlign w:val="bottom"/>
            <w:tcBorders>
              <w:right w:val="single" w:sz="8" w:color="auto"/>
            </w:tcBorders>
            <w:vMerge w:val="continue"/>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CID000760</w:t>
            </w:r>
          </w:p>
        </w:tc>
        <w:tc>
          <w:tcPr>
            <w:tcW w:w="2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Huichang Jinshunda Tin Co., Ltd.</w:t>
            </w:r>
          </w:p>
        </w:tc>
        <w:tc>
          <w:tcPr>
            <w:tcW w:w="2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top w:val="single" w:sz="8" w:color="auto"/>
              <w:bottom w:val="single" w:sz="8" w:color="auto"/>
              <w:right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CID000942</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rPr>
              <w:t>Gejiu Kai Meng Industry and Trade</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LLC</w:t>
            </w:r>
          </w:p>
        </w:tc>
        <w:tc>
          <w:tcPr>
            <w:tcW w:w="2200" w:type="dxa"/>
            <w:vAlign w:val="bottom"/>
            <w:tcBorders>
              <w:right w:val="single" w:sz="8" w:color="auto"/>
            </w:tcBorders>
            <w:vMerge w:val="continue"/>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1180" w:type="dxa"/>
            <w:vAlign w:val="bottom"/>
            <w:tcBorders>
              <w:right w:val="single" w:sz="8" w:color="auto"/>
            </w:tcBorders>
            <w:vMerge w:val="continue"/>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CID001070</w:t>
            </w:r>
          </w:p>
        </w:tc>
        <w:tc>
          <w:tcPr>
            <w:tcW w:w="2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 Tin Group Co., Ltd.</w:t>
            </w:r>
          </w:p>
        </w:tc>
        <w:tc>
          <w:tcPr>
            <w:tcW w:w="2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CID001105</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rPr>
              <w:t>Malaysia Smelting Corporation</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MALAYSIA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Yes</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(MSC)</w:t>
            </w:r>
          </w:p>
        </w:tc>
        <w:tc>
          <w:tcPr>
            <w:tcW w:w="2200" w:type="dxa"/>
            <w:vAlign w:val="bottom"/>
            <w:tcBorders>
              <w:right w:val="single" w:sz="8" w:color="auto"/>
            </w:tcBorders>
            <w:vMerge w:val="continue"/>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1180" w:type="dxa"/>
            <w:vAlign w:val="bottom"/>
            <w:tcBorders>
              <w:right w:val="single" w:sz="8" w:color="auto"/>
            </w:tcBorders>
            <w:vMerge w:val="continue"/>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CID001142</w:t>
            </w:r>
          </w:p>
        </w:tc>
        <w:tc>
          <w:tcPr>
            <w:tcW w:w="2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Metallic Resources, Inc.</w:t>
            </w:r>
          </w:p>
        </w:tc>
        <w:tc>
          <w:tcPr>
            <w:tcW w:w="2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top w:val="single" w:sz="8" w:color="auto"/>
              <w:bottom w:val="single" w:sz="8" w:color="auto"/>
              <w:right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CID001173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Mineracao Taboca S.A.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CID001182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Minsur</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PERU</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900" w:type="dxa"/>
            <w:vAlign w:val="bottom"/>
            <w:tcBorders>
              <w:left w:val="single" w:sz="8" w:color="auto"/>
              <w:right w:val="single" w:sz="8" w:color="auto"/>
            </w:tcBorders>
          </w:tcPr>
          <w:p>
            <w:pPr>
              <w:ind w:left="40"/>
              <w:spacing w:after="0" w:line="74" w:lineRule="exact"/>
              <w:rPr>
                <w:sz w:val="20"/>
                <w:szCs w:val="20"/>
                <w:color w:val="auto"/>
              </w:rPr>
            </w:pPr>
            <w:r>
              <w:rPr>
                <w:rFonts w:ascii="Arial" w:cs="Arial" w:eastAsia="Arial" w:hAnsi="Arial"/>
                <w:sz w:val="8"/>
                <w:szCs w:val="8"/>
                <w:color w:val="auto"/>
              </w:rPr>
              <w:t>Tin</w:t>
            </w:r>
          </w:p>
        </w:tc>
        <w:tc>
          <w:tcPr>
            <w:tcW w:w="1260" w:type="dxa"/>
            <w:vAlign w:val="bottom"/>
            <w:tcBorders>
              <w:right w:val="single" w:sz="8" w:color="auto"/>
            </w:tcBorders>
          </w:tcPr>
          <w:p>
            <w:pPr>
              <w:ind w:left="20"/>
              <w:spacing w:after="0" w:line="74" w:lineRule="exact"/>
              <w:rPr>
                <w:sz w:val="20"/>
                <w:szCs w:val="20"/>
                <w:color w:val="auto"/>
              </w:rPr>
            </w:pPr>
            <w:r>
              <w:rPr>
                <w:rFonts w:ascii="Arial" w:cs="Arial" w:eastAsia="Arial" w:hAnsi="Arial"/>
                <w:sz w:val="8"/>
                <w:szCs w:val="8"/>
                <w:color w:val="auto"/>
              </w:rPr>
              <w:t>CID001191</w:t>
            </w:r>
          </w:p>
        </w:tc>
        <w:tc>
          <w:tcPr>
            <w:tcW w:w="2260" w:type="dxa"/>
            <w:vAlign w:val="bottom"/>
            <w:tcBorders>
              <w:right w:val="single" w:sz="8" w:color="auto"/>
            </w:tcBorders>
          </w:tcPr>
          <w:p>
            <w:pPr>
              <w:ind w:left="20"/>
              <w:spacing w:after="0" w:line="74" w:lineRule="exact"/>
              <w:rPr>
                <w:sz w:val="20"/>
                <w:szCs w:val="20"/>
                <w:color w:val="auto"/>
              </w:rPr>
            </w:pPr>
            <w:r>
              <w:rPr>
                <w:rFonts w:ascii="Arial" w:cs="Arial" w:eastAsia="Arial" w:hAnsi="Arial"/>
                <w:sz w:val="8"/>
                <w:szCs w:val="8"/>
                <w:color w:val="auto"/>
              </w:rPr>
              <w:t>Mitsubishi Materials Corporation</w:t>
            </w:r>
          </w:p>
        </w:tc>
        <w:tc>
          <w:tcPr>
            <w:tcW w:w="2200" w:type="dxa"/>
            <w:vAlign w:val="bottom"/>
            <w:tcBorders>
              <w:right w:val="single" w:sz="8" w:color="auto"/>
            </w:tcBorders>
          </w:tcPr>
          <w:p>
            <w:pPr>
              <w:spacing w:after="0" w:line="74" w:lineRule="exact"/>
              <w:rPr>
                <w:sz w:val="20"/>
                <w:szCs w:val="20"/>
                <w:color w:val="auto"/>
              </w:rPr>
            </w:pPr>
            <w:r>
              <w:rPr>
                <w:rFonts w:ascii="Arial" w:cs="Arial" w:eastAsia="Arial" w:hAnsi="Arial"/>
                <w:sz w:val="8"/>
                <w:szCs w:val="8"/>
                <w:color w:val="auto"/>
              </w:rPr>
              <w:t>JAPAN</w:t>
            </w:r>
          </w:p>
        </w:tc>
        <w:tc>
          <w:tcPr>
            <w:tcW w:w="1120" w:type="dxa"/>
            <w:vAlign w:val="bottom"/>
            <w:tcBorders>
              <w:right w:val="single" w:sz="8" w:color="auto"/>
            </w:tcBorders>
          </w:tcPr>
          <w:p>
            <w:pPr>
              <w:spacing w:after="0" w:line="74" w:lineRule="exact"/>
              <w:rPr>
                <w:sz w:val="20"/>
                <w:szCs w:val="20"/>
                <w:color w:val="auto"/>
              </w:rPr>
            </w:pPr>
            <w:r>
              <w:rPr>
                <w:rFonts w:ascii="Arial" w:cs="Arial" w:eastAsia="Arial" w:hAnsi="Arial"/>
                <w:sz w:val="8"/>
                <w:szCs w:val="8"/>
                <w:color w:val="auto"/>
              </w:rPr>
              <w:t>No</w:t>
            </w:r>
          </w:p>
        </w:tc>
        <w:tc>
          <w:tcPr>
            <w:tcW w:w="1180" w:type="dxa"/>
            <w:vAlign w:val="bottom"/>
            <w:tcBorders>
              <w:right w:val="single" w:sz="8" w:color="auto"/>
            </w:tcBorders>
          </w:tcPr>
          <w:p>
            <w:pPr>
              <w:ind w:left="20"/>
              <w:spacing w:after="0" w:line="74" w:lineRule="exact"/>
              <w:rPr>
                <w:sz w:val="20"/>
                <w:szCs w:val="20"/>
                <w:color w:val="auto"/>
              </w:rPr>
            </w:pPr>
            <w:r>
              <w:rPr>
                <w:rFonts w:ascii="Arial" w:cs="Arial" w:eastAsia="Arial" w:hAnsi="Arial"/>
                <w:sz w:val="8"/>
                <w:szCs w:val="8"/>
                <w:color w:val="auto"/>
              </w:rPr>
              <w:t>Conformant</w:t>
            </w:r>
          </w:p>
        </w:tc>
        <w:tc>
          <w:tcPr>
            <w:tcW w:w="980" w:type="dxa"/>
            <w:vAlign w:val="bottom"/>
            <w:tcBorders>
              <w:right w:val="single" w:sz="8" w:color="auto"/>
            </w:tcBorders>
          </w:tcPr>
          <w:p>
            <w:pPr>
              <w:spacing w:after="0"/>
              <w:rPr>
                <w:sz w:val="8"/>
                <w:szCs w:val="8"/>
                <w:color w:val="auto"/>
              </w:rPr>
            </w:pPr>
          </w:p>
        </w:tc>
        <w:tc>
          <w:tcPr>
            <w:tcW w:w="1200" w:type="dxa"/>
            <w:vAlign w:val="bottom"/>
          </w:tcPr>
          <w:p>
            <w:pPr>
              <w:ind w:left="20"/>
              <w:spacing w:after="0" w:line="74" w:lineRule="exact"/>
              <w:rPr>
                <w:sz w:val="20"/>
                <w:szCs w:val="20"/>
                <w:color w:val="auto"/>
              </w:rPr>
            </w:pPr>
            <w:r>
              <w:rPr>
                <w:rFonts w:ascii="Arial" w:cs="Arial" w:eastAsia="Arial" w:hAnsi="Arial"/>
                <w:sz w:val="8"/>
                <w:szCs w:val="8"/>
                <w:color w:val="auto"/>
              </w:rPr>
              <w:t>Unknown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909" w:orient="portrait"/>
          <w:cols w:equalWidth="0" w:num="1">
            <w:col w:w="11100"/>
          </w:cols>
          <w:pgMar w:left="560" w:top="146" w:right="239" w:bottom="0" w:gutter="0" w:footer="0" w:header="0"/>
        </w:sectPr>
      </w:pPr>
    </w:p>
    <w:bookmarkStart w:id="7" w:name="page8"/>
    <w:bookmarkEnd w:id="7"/>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94"/>
        </w:trPr>
        <w:tc>
          <w:tcPr>
            <w:tcW w:w="900" w:type="dxa"/>
            <w:vAlign w:val="bottom"/>
            <w:tcBorders>
              <w:left w:val="single" w:sz="8" w:color="auto"/>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220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90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22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4"/>
                <w:szCs w:val="14"/>
                <w:color w:val="auto"/>
              </w:rPr>
              <w:t>Jiangxi New Nanshan Technology</w:t>
            </w:r>
          </w:p>
        </w:tc>
        <w:tc>
          <w:tcPr>
            <w:tcW w:w="22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CID001231</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CID001305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Novosibirsk Processing Plant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O.M. Manufacturing (Thailand) Co.,</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CID001314</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THAILAND</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CID001337</w:t>
            </w:r>
          </w:p>
        </w:tc>
        <w:tc>
          <w:tcPr>
            <w:tcW w:w="2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Operaciones Metalurgicas S.A.</w:t>
            </w:r>
          </w:p>
        </w:tc>
        <w:tc>
          <w:tcPr>
            <w:tcW w:w="2200" w:type="dxa"/>
            <w:vAlign w:val="bottom"/>
            <w:tcBorders>
              <w:right w:val="single" w:sz="8" w:color="auto"/>
            </w:tcBorders>
          </w:tcPr>
          <w:p>
            <w:pPr>
              <w:spacing w:after="0" w:line="128" w:lineRule="exact"/>
              <w:rPr>
                <w:sz w:val="20"/>
                <w:szCs w:val="20"/>
                <w:color w:val="auto"/>
              </w:rPr>
            </w:pPr>
            <w:r>
              <w:rPr>
                <w:rFonts w:ascii="Arial" w:cs="Arial" w:eastAsia="Arial" w:hAnsi="Arial"/>
                <w:sz w:val="14"/>
                <w:szCs w:val="14"/>
                <w:color w:val="auto"/>
              </w:rPr>
              <w:t>BOLIVIA (PLURINATIONAL</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vMerge w:val="continue"/>
          </w:tcPr>
          <w:p>
            <w:pPr>
              <w:spacing w:after="0"/>
              <w:rPr>
                <w:sz w:val="16"/>
                <w:szCs w:val="16"/>
                <w:color w:val="auto"/>
              </w:rPr>
            </w:pP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STATE OF)</w:t>
            </w: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CID001399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Artha Cipta Langgeng</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CID001402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Babel Inti Perkasa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CID001406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Babel Surya Alam Lestari</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CID001419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Bangka Tin Industry</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CID001421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Belitung Industri Sejahtera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CID001428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Bukit Timah</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CID001434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DS Jaya Abadi</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CID001438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Eunindo Usaha Mandiri</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CID001448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Karimun Mining</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CID001453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Mitra Stania Prima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CID001457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Panca Mega Persada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CID001458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Prima Timah Utama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CID001460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Refined Bangka Tin</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CID001463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Sariwiguna Binasentosa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CID001468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Stanindo Inti Perkasa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CID001471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Sumber Jaya Indah</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CID001477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Timah Tbk Kundur</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CID001482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Timah Tbk Mentok</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CID001486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Timah Nusantara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CID001490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Tinindo Inter Nusa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CID001493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Tommy Utama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CID001539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Rui Da Hung</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TAIWAN, PROVINCE OF 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CID001758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Soft Metais Ltda.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CID001898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Thaisarco</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THAILAND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CID001908</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w w:val="96"/>
              </w:rPr>
              <w:t>Gejiu Yunxin Nonferrous Electrolysis</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CID002015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5"/>
              </w:rPr>
              <w:t>VQB Mineral and Trading Group JSC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VIET NAM</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CID002036</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w w:val="95"/>
              </w:rPr>
              <w:t>White Solder Metalurgia e Mineracao</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BRAZIL</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Yes</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Ltda.</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Yunnan Chengfeng Non-ferrous</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CID002158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Metals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1"/>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4"/>
                <w:szCs w:val="14"/>
                <w:color w:val="auto"/>
              </w:rPr>
              <w:t>Tin Smelting Branch of Yunnan Tin</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CID002180</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CID002455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CV Venus Inti Perkasa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Magnu's Minerais Metais e Ligas</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CID002468</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Ltda.</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BRAZIL</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CID002478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Tirus Putra Mandiri</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Melt Metais e Ligas S.A.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ATD Makmur Mandiri Jaya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CID002517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7"/>
              </w:rPr>
              <w:t>O.M. Manufacturing Philippines, Inc.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PHILIPPINES</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CID002530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Inti Stania Prima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CID002570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CV Ayi Jaya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rPr>
              <w:t>Electro-Mechanical Facility of the</w:t>
            </w:r>
          </w:p>
        </w:tc>
        <w:tc>
          <w:tcPr>
            <w:tcW w:w="22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Cao Bang Minerals &amp; Metallurgy</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CID002572</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Joint Stock Company</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VIET NAM</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CID002573</w:t>
            </w:r>
          </w:p>
        </w:tc>
        <w:tc>
          <w:tcPr>
            <w:tcW w:w="2260" w:type="dxa"/>
            <w:vAlign w:val="bottom"/>
            <w:tcBorders>
              <w:right w:val="single" w:sz="8" w:color="auto"/>
            </w:tcBorders>
          </w:tcPr>
          <w:p>
            <w:pPr>
              <w:ind w:left="20"/>
              <w:spacing w:after="0" w:line="128" w:lineRule="exact"/>
              <w:rPr>
                <w:sz w:val="20"/>
                <w:szCs w:val="20"/>
                <w:color w:val="auto"/>
              </w:rPr>
            </w:pPr>
            <w:r>
              <w:rPr>
                <w:rFonts w:ascii="Arial" w:cs="Arial" w:eastAsia="Arial" w:hAnsi="Arial"/>
                <w:sz w:val="14"/>
                <w:szCs w:val="14"/>
                <w:color w:val="auto"/>
                <w:w w:val="97"/>
              </w:rPr>
              <w:t>Nghe Tinh Non-Ferrous Metals Joint</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VIET NAM</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Stock Company</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Tuyen Quang Non-Ferrous Metals</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CID002574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Joint Stock Company</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VIET NAM</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CID002592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CV Dua Sekawan</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CID002593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Rajehan Ariq</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CID002696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Cipta Persada Mulia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An Vinh Joint Stock Mineral</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CID002703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Processing Company</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VIET NAM</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CID002706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Resind Industria e Comercio Ltda.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CID002756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Super Ligas</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CID002773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Metallo Belgium N.V.</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BELGIUM</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CID002774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Metallo Spain S.L.U.</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SPAIN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CID002776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Bangka Prima Tin</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CID002816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Sukses Inti Makmur</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CID002829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Kijang Jaya Mandiri</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w w:val="99"/>
              </w:rPr>
              <w:t>Thai Nguyen Mining and Metallurgy</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CID002834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VIET NAM</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CID002835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Menara Cipta Mulia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CID002844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HuiChang Hill Tin Industry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CID002848</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w w:val="95"/>
              </w:rPr>
              <w:t>Gejiu Fengming Metallurgy Chemical</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Plant</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Guanyang Guida Nonferrous Metal</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CID002849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Smelting Plant</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CID002858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Modeltech Sdn Bhd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MALAYSIA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CID002870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Lautan Harmonis Sejahtera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CID003116</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rPr>
              <w:t>Guangdong Hanhe Non-Ferrous</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Yes</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 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Chifeng Dajingzi Tin Industry Co.,</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CID003190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CID003205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Bangka Serumpun</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CID003208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Pongpipat Company Limited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MYANMAR</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7"/>
        </w:trPr>
        <w:tc>
          <w:tcPr>
            <w:tcW w:w="900" w:type="dxa"/>
            <w:vAlign w:val="bottom"/>
            <w:tcBorders>
              <w:left w:val="single" w:sz="8" w:color="auto"/>
              <w:right w:val="single" w:sz="8" w:color="auto"/>
            </w:tcBorders>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2260" w:type="dxa"/>
            <w:vAlign w:val="bottom"/>
            <w:tcBorders>
              <w:right w:val="single" w:sz="8" w:color="auto"/>
            </w:tcBorders>
          </w:tcPr>
          <w:p>
            <w:pPr>
              <w:spacing w:after="0"/>
              <w:rPr>
                <w:sz w:val="2"/>
                <w:szCs w:val="2"/>
                <w:color w:val="auto"/>
              </w:rPr>
            </w:pPr>
          </w:p>
        </w:tc>
        <w:tc>
          <w:tcPr>
            <w:tcW w:w="2200" w:type="dxa"/>
            <w:vAlign w:val="bottom"/>
            <w:tcBorders>
              <w:right w:val="single" w:sz="8" w:color="auto"/>
            </w:tcBorders>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9" w:orient="portrait"/>
          <w:cols w:equalWidth="0" w:num="1">
            <w:col w:w="11100"/>
          </w:cols>
          <w:pgMar w:left="560" w:top="140" w:right="239" w:bottom="0" w:gutter="0" w:footer="0" w:header="0"/>
        </w:sectPr>
      </w:pPr>
    </w:p>
    <w:bookmarkStart w:id="8" w:name="page9"/>
    <w:bookmarkEnd w:id="8"/>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CID003325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Tin Technology &amp; Refining</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6"/>
        </w:trPr>
        <w:tc>
          <w:tcPr>
            <w:tcW w:w="90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22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4"/>
                <w:szCs w:val="14"/>
                <w:color w:val="auto"/>
              </w:rPr>
              <w:t>Dongguan CiEXPO Environmental</w:t>
            </w:r>
          </w:p>
        </w:tc>
        <w:tc>
          <w:tcPr>
            <w:tcW w:w="22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CID003356</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Engineering Co., 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CID003379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Ma'anshan Weitai Tin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CID003381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Rajawali Rimba Perkasa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CID003387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Luna Smelter,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RWANDA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CID003397</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rPr>
              <w:t>Yunnan Yunfan Non-ferrous Metals</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CID003409</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rPr>
              <w:t>Precious Minerals and Smelting</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INDIA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Limited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Gejiu City Fuxiang Industry and</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CID003410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Trade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CID003449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Mitra Sukses Globalindo</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CRM Fundicao De Metais E</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CID003486</w:t>
            </w:r>
          </w:p>
        </w:tc>
        <w:tc>
          <w:tcPr>
            <w:tcW w:w="22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Comercio De Equipamentos</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BRAZIL</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Eletronicos Do Brasil Ltda</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CID003524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CRM Synergies</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SPAIN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CID003831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DS Myanmar</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MYANMAR</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CID003868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Putera Sarana Shakti (PT PSS)</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CID000015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Advanced Chemical Company</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CID000019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Aida Chemical Industries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CID000035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Agosi AG</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Almalyk Mining and Metallurgical</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CID000041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Complex (AMMC)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UZBEKISTAN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1"/>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4"/>
                <w:szCs w:val="14"/>
                <w:color w:val="auto"/>
                <w:w w:val="99"/>
              </w:rPr>
              <w:t>AngloGold Ashanti Corrego do Sitio</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CID000058</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Mineracao</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BRAZIL</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CID000077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Argor-Heraeus S.A.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SWITZERLAND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CID000082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Asahi Pretec Corp.</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CID000090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Asaka Riken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CID000103</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rPr>
              <w:t>Atasay Kuyumculuk Sanayi Ve</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TURKEY</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Ticaret A.S.</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CID000113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Aurubis AG</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CID000128</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w w:val="97"/>
              </w:rPr>
              <w:t>Bangko Sentral ng Pilipinas (Central</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PHILIPPINES</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Bank of the Philippines)</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CID000157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Boliden AB</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SWEDEN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CID000176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 Hafner GmbH + Co. KG</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CID000180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Caridad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MEXICO</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CCR Refinery - Glencore Canada</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CID000185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Corporation</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CANADA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CID000189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Cendres + Metaux S.A.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SWITZERLAND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CID000197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Yunnan Copper Industry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CID000233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Chimet S.p.A.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ITALY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CID000264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Chugai Mining</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CID000328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Daejin Indus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Daye Non-Ferrous Metals Mining</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CID000343</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CID000359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DSC (Do Sung Corporation)</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DODUCO Contacts and Refining</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CID000362</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GmbH</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CID000401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Dowa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w w:val="96"/>
              </w:rPr>
              <w:t>Eco-System Recycling Co., Ltd. East</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CID000425</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Plant</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CID000493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JSC Novosibirsk</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CID000522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Refinery of Seemine Gold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Guoda Safina High-Tech</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CID000651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Environmental Refinery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1"/>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4"/>
                <w:szCs w:val="14"/>
                <w:color w:val="auto"/>
                <w:w w:val="94"/>
              </w:rPr>
              <w:t>Hangzhou Fuchunjiang Smelting Co.,</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CID000671</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CID000689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 Metal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CID000694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Heimerle + Meule GmbH</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CID000707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Heraeus Metals Hong Kong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CID000711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Heraeus Germany GmbB Co. KG</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CID000767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Hunan Chenzhou Mining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Hunan Guiyang yinxing Nonferrous</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CID000773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Smelting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CID000778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HwaSeong CJ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Inner Mongolia Qiankun Gold and</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CID000801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Silver Refinery Share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CID000807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Ishifuku Metal Industry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CID000814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Istanbul Gold Refinery</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TURKEY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CID000823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 Mint</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CID000855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Copper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CID000920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Johnson Matthey Inc. (USA)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CID000924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Asahi Refining Canada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CANADA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w w:val="95"/>
              </w:rPr>
              <w:t>JSC Ekaterinburg Non-Ferrous Metal</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CID000927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Processing Plant</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CID000929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JSC Uralelectromed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CID000937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7"/>
              </w:rPr>
              <w:t>JX Nippon Mining &amp; Metals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CID000956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Kazakhmys Smelting LLC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KAZAKHSTAN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CID000957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Kazzinc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KAZAKHSTAN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CID000969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Kennecott Utah Copper LLC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CID000981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Kojima Chemicals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CID001029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Kyrgyzaltyn JSC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KYRGYZSTAN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CID001032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L'azurde Company For Jewelry</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SAUDI ARABIA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CID001056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Lingbao Gold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37"/>
        </w:trPr>
        <w:tc>
          <w:tcPr>
            <w:tcW w:w="900" w:type="dxa"/>
            <w:vAlign w:val="bottom"/>
            <w:tcBorders>
              <w:left w:val="single" w:sz="8" w:color="auto"/>
              <w:right w:val="single" w:sz="8" w:color="auto"/>
            </w:tcBorders>
          </w:tcPr>
          <w:p>
            <w:pPr>
              <w:spacing w:after="0"/>
              <w:rPr>
                <w:sz w:val="3"/>
                <w:szCs w:val="3"/>
                <w:color w:val="auto"/>
              </w:rPr>
            </w:pPr>
          </w:p>
        </w:tc>
        <w:tc>
          <w:tcPr>
            <w:tcW w:w="1260" w:type="dxa"/>
            <w:vAlign w:val="bottom"/>
            <w:tcBorders>
              <w:right w:val="single" w:sz="8" w:color="auto"/>
            </w:tcBorders>
          </w:tcPr>
          <w:p>
            <w:pPr>
              <w:spacing w:after="0"/>
              <w:rPr>
                <w:sz w:val="3"/>
                <w:szCs w:val="3"/>
                <w:color w:val="auto"/>
              </w:rPr>
            </w:pPr>
          </w:p>
        </w:tc>
        <w:tc>
          <w:tcPr>
            <w:tcW w:w="2260" w:type="dxa"/>
            <w:vAlign w:val="bottom"/>
            <w:tcBorders>
              <w:right w:val="single" w:sz="8" w:color="auto"/>
            </w:tcBorders>
          </w:tcPr>
          <w:p>
            <w:pPr>
              <w:spacing w:after="0"/>
              <w:rPr>
                <w:sz w:val="3"/>
                <w:szCs w:val="3"/>
                <w:color w:val="auto"/>
              </w:rPr>
            </w:pPr>
          </w:p>
        </w:tc>
        <w:tc>
          <w:tcPr>
            <w:tcW w:w="2200" w:type="dxa"/>
            <w:vAlign w:val="bottom"/>
            <w:tcBorders>
              <w:right w:val="single" w:sz="8" w:color="auto"/>
            </w:tcBorders>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9" w:orient="portrait"/>
          <w:cols w:equalWidth="0" w:num="1">
            <w:col w:w="11100"/>
          </w:cols>
          <w:pgMar w:left="560" w:top="139" w:right="239" w:bottom="0" w:gutter="0" w:footer="0" w:header="0"/>
        </w:sectPr>
      </w:pPr>
    </w:p>
    <w:bookmarkStart w:id="9" w:name="page10"/>
    <w:bookmarkEnd w:id="9"/>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900" w:type="dxa"/>
            <w:vAlign w:val="bottom"/>
            <w:tcBorders>
              <w:left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Lingbao Jinyuan Tonghui Refinery</w:t>
            </w:r>
          </w:p>
        </w:tc>
        <w:tc>
          <w:tcPr>
            <w:tcW w:w="22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CID001058</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CID001078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LS-NIKKO Copper Inc.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Luoyang Zijin Yinhui Gold Refinery</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CID001093</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CID001113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Materion</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CID001119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Matsuda Sangyo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CID001147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9"/>
              </w:rPr>
              <w:t>Metalor Technologies (Suzhou)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CID001149</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rPr>
              <w:t>Metalor Technologies (Hong Kong)</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Metalor Technologies (Singapore)</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CID001152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Pte.,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SINGAPORE</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CID001153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Metalor Technologies S.A.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SWITZERLAND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CID001157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Metalor USA Refining Corporation</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CID001161</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rPr>
              <w:t>Metalurgica Met-Mex Penoles S.A.</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MEXICO</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 C.V.</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CID001188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Mitsubishi Materials Corporation</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CID001193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8"/>
              </w:rPr>
              <w:t>Mitsui Mining and Smelting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Moscow Special Alloys Processing</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CID001204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Plant</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CID001220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3"/>
              </w:rPr>
              <w:t>Nadir Metal Rafineri San. Ve Tic. A.S.</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TURKEY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Navoi Mining and Metallurgical</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CID001236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Combinat</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UZBEKISTAN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CID001259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Nihon Material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CID001322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Ohio Precious Metals, LLC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CID001325</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rPr>
              <w:t>Ohura Precious Metal Industry Co.,</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JAPAN</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OJSC "The Gulidov Krasnoyarsk</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CID001326</w:t>
            </w:r>
          </w:p>
        </w:tc>
        <w:tc>
          <w:tcPr>
            <w:tcW w:w="22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Non-Ferrous Metals Plant" (OJSC</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RUSSIAN FEDERATION</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Krastsvetmet)</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CID001352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PAMP S.A.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SWITZERLAND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CID001362</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w w:val="95"/>
              </w:rPr>
              <w:t>Penglai Penggang Gold Industry Co.,</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CID001386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4"/>
              </w:rPr>
              <w:t>Prioksky Plant of Non-Ferrous Metals</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CID001397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PT Aneka Tambang (Persero) Tbk</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CID001498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PX Precinox S.A.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SWITZERLAND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CID001512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Rand Refinery (Pty)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SOUTH AFRICA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CID001534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Royal Canadian Mint</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CANADA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CID001546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Sabin Metal Corp.</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CID001555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Samduck Precious Metals</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CID001562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Samwon Metals Corp.</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CID001585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SEMPSA Joyeria Plateria S.A.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SPAIN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w w:val="95"/>
              </w:rPr>
              <w:t>Shandong Tiancheng Biological Gold</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CID001619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Industrial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1"/>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4"/>
                <w:szCs w:val="14"/>
                <w:color w:val="auto"/>
              </w:rPr>
              <w:t>Shandong Zhaojin Gold &amp; Silver</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CID001622</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Refinery Co., 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CID001736</w:t>
            </w:r>
          </w:p>
        </w:tc>
        <w:tc>
          <w:tcPr>
            <w:tcW w:w="2260" w:type="dxa"/>
            <w:vAlign w:val="bottom"/>
            <w:tcBorders>
              <w:right w:val="single" w:sz="8" w:color="auto"/>
            </w:tcBorders>
          </w:tcPr>
          <w:p>
            <w:pPr>
              <w:ind w:left="20"/>
              <w:spacing w:after="0" w:line="128" w:lineRule="exact"/>
              <w:rPr>
                <w:sz w:val="20"/>
                <w:szCs w:val="20"/>
                <w:color w:val="auto"/>
              </w:rPr>
            </w:pPr>
            <w:r>
              <w:rPr>
                <w:rFonts w:ascii="Arial" w:cs="Arial" w:eastAsia="Arial" w:hAnsi="Arial"/>
                <w:sz w:val="14"/>
                <w:szCs w:val="14"/>
                <w:color w:val="auto"/>
                <w:w w:val="95"/>
              </w:rPr>
              <w:t>Sichuan Tianze Precious Metals Co.,</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SOE Shyolkovsky Factory of</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CID001756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Secondary Precious Metals</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1"/>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4"/>
                <w:szCs w:val="14"/>
                <w:color w:val="auto"/>
                <w:w w:val="99"/>
              </w:rPr>
              <w:t>Solar Applied Materials Technology</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CID001761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Corp.</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TAIWAN, PROVINCE OF 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CID001798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Sumitomo Metal Mining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CID001810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9"/>
              </w:rPr>
              <w:t>Super Dragon Technology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TAIWAN, PROVINCE OF 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CID001875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Tanaka Kikinzoku Kogyo K.K.</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w w:val="97"/>
              </w:rPr>
              <w:t>Great Wall Precious Metals Co., Ltd.</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CID001909</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of CBPM</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CID001916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Shandong Gold Smelting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CID001938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Tokuriki Honten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Tongling Nonferrous Metals Group</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CID001947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CID001955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Torecom</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CID001977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Umicore Brasil Ltda.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CID001980</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w w:val="95"/>
              </w:rPr>
              <w:t>Umicore S.A. Business Unit Precious</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BELGIUM</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Metals Refining</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CID001993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8"/>
              </w:rPr>
              <w:t>United Precious Metal Refining, Inc.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CID002003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Valcambi S.A.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SWITZERLAND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Western Australian Mint (T/a The</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CID002030</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Perth Mint)</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AUSTRALIA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CID002100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Yamakin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CID002129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Yokohama Metal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w w:val="96"/>
              </w:rPr>
              <w:t>Zhongyuan Gold Smelter of Zhongjin</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CID002224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Gold Corporation</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1"/>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4"/>
                <w:szCs w:val="14"/>
                <w:color w:val="auto"/>
              </w:rPr>
              <w:t>Gold Refinery of Zijin Mining Group</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CID002243</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CID002282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Morris and Watson</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NEW ZEALAND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CID002290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SAFINA A.S.</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CZECHIA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CID002312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Guangdong Jinding Gold Limited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CID002314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Umicore Precious Metals Thailand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THAILAND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CID002459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Geib Refining Corporation</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MMTC-PAMP India Pvt.,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CID002510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Republic Metals Corporation</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CID002511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6"/>
              </w:rPr>
              <w:t>KGHM Polska Miedz Spolka Akcyjna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POLAND</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CID002515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Fidelity Printers and Refiners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ZIMBABWE</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CID002516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Singway Technology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TAIWAN, PROVINCE OF 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CID002519</w:t>
            </w: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Henan Yuguang Gold &amp; Lead Co.,</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99"/>
        </w:trPr>
        <w:tc>
          <w:tcPr>
            <w:tcW w:w="900" w:type="dxa"/>
            <w:vAlign w:val="bottom"/>
            <w:tcBorders>
              <w:left w:val="single" w:sz="8" w:color="auto"/>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tcPr>
          <w:p>
            <w:pPr>
              <w:ind w:left="20"/>
              <w:spacing w:after="0" w:line="79" w:lineRule="exact"/>
              <w:rPr>
                <w:sz w:val="20"/>
                <w:szCs w:val="20"/>
                <w:color w:val="auto"/>
              </w:rPr>
            </w:pPr>
            <w:r>
              <w:rPr>
                <w:rFonts w:ascii="Arial" w:cs="Arial" w:eastAsia="Arial" w:hAnsi="Arial"/>
                <w:sz w:val="9"/>
                <w:szCs w:val="9"/>
                <w:color w:val="auto"/>
              </w:rPr>
              <w:t>Ltd</w:t>
            </w:r>
          </w:p>
        </w:tc>
        <w:tc>
          <w:tcPr>
            <w:tcW w:w="220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909" w:orient="portrait"/>
          <w:cols w:equalWidth="0" w:num="1">
            <w:col w:w="11100"/>
          </w:cols>
          <w:pgMar w:left="560" w:top="80" w:right="239" w:bottom="0" w:gutter="0" w:footer="0" w:header="0"/>
        </w:sectPr>
      </w:pPr>
    </w:p>
    <w:bookmarkStart w:id="10" w:name="page11"/>
    <w:bookmarkEnd w:id="10"/>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94"/>
        </w:trPr>
        <w:tc>
          <w:tcPr>
            <w:tcW w:w="900" w:type="dxa"/>
            <w:vAlign w:val="bottom"/>
            <w:tcBorders>
              <w:left w:val="single" w:sz="8" w:color="auto"/>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220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CID002525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6"/>
              </w:rPr>
              <w:t>Shandong Humon Smelting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Shenzhen Zhonghenglong Real</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CID002527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Industry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CID002560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 Etihad Gold Refinery DMCC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ARAB EMIRATES</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CID002561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Emirates Gold DMCC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ARAB EMIRATES</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CID002562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5"/>
              </w:rPr>
              <w:t>International Precious Metal Refiners</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ARAB EMIRATES</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CID002563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Kaloti Precious Metals</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ARAB EMIRATES</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CID002567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Sudan Gold Refinery</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SUDAN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CID002580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T.C.A S.p.A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ITALY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CID002582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REMONDIS PMR B.V.</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NETHERLANDS</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CID002584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Fujairah Gold FZC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ARAB EMIRATES</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CID002587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Industrial Refining Company</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BELGIUM</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CID002588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Shirpur Gold Refinery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CID002605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Korea Zinc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CID002606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Marsam Metals</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CID002615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TOO Tau-Ken-Altyn</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KAZAKHSTAN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CID002708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Abington Reldan Metals, LLC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CID002750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Shenzhen CuiLu Gold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CID002760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Albino Mountinho Lda.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PORTUGAL</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CID002761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SAAMP</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FRANCE</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CID002762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L'Orfebre S.A.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ANDORRA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CID002763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8853 S.p.A.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ITALY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CID002765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Italpreziosi</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ITALY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CID002777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SAXONIA Edelmetalle GmbH</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CID002778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WIELAND Edelmetalle GmbH</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Ogussa Osterreichische Gold- und</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CID002779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Silber-Scheideanstalt GmbH</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AUSTRIA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CID002850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 Traders and Refiners</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SOUTH AFRICA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CID002852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GCC Gujrat Gold Centre Pvt.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CID002853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Sai Refinery</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Universal Precious Metals Refining</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CID002854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Zambia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ZAMBIA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CID002857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Modeltech Sdn Bhd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MALAYSIA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CID002863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Bangalore Refinery</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CID002865</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rPr>
              <w:t>Kyshtym Copper-Electrolytic Plant</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RUSSIAN FEDERATION</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ZAO</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CID002866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Morris and Watson Gold Coast</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AUSTRALIA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CID002867</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w w:val="99"/>
              </w:rPr>
              <w:t>Degussa Sonne / Mond Goldhandel</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GERMANY</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GmbH</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CID002872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Pease &amp; Curren</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CID002893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JALAN &amp; Company</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CID002918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SungEel HiMetal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CID002919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3"/>
              </w:rPr>
              <w:t>Planta Recuperadora de Metales SpA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CHILE</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CID002920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ABC Refinery Pty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AUSTRALIA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CID002973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Safimet S.p.A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ITALY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State Research Institute Center for</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CID003153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Physical Sciences and Technology</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LITHUANIA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CID003185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African Gold Refinery</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UGANDA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CID003186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Gold Coast Refinery</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GHANA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CID003189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NH Recytech Company</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CID003195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TSK Pretech</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CID003324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QG Refining, LLC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CID003348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Dijllah Gold Refinery FZC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UNITED ARAB EMIRATES</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CID003382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CGR Metalloys Pvt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CID003383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Sovereign Metals</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CID003421</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w w:val="98"/>
              </w:rPr>
              <w:t>C.I Metales Procesados Industriales</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COLOMBIA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SAS</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Eco-System Recycling Co., Ltd.</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CID003424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North Plant</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1"/>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4"/>
                <w:szCs w:val="14"/>
                <w:color w:val="auto"/>
                <w:w w:val="94"/>
              </w:rPr>
              <w:t>Eco-System Recycling Co., Ltd. West</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CID003425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Plant</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CID003461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6"/>
              </w:rPr>
              <w:t>Augmont Enterprises Private Limited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CID003463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Kundan Care Products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CID003487</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w w:val="96"/>
              </w:rPr>
              <w:t>Emerald Jewel Industry India Limited</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INDIA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 1)</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w w:val="96"/>
              </w:rPr>
              <w:t>Emerald Jewel Industry India Limited</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CID003488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 2)</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1"/>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4"/>
                <w:szCs w:val="14"/>
                <w:color w:val="auto"/>
                <w:w w:val="96"/>
              </w:rPr>
              <w:t>Emerald Jewel Industry India Limited</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CID003489</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(Unit 3)</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INDIA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CID003490</w:t>
            </w:r>
          </w:p>
        </w:tc>
        <w:tc>
          <w:tcPr>
            <w:tcW w:w="2260" w:type="dxa"/>
            <w:vAlign w:val="bottom"/>
            <w:tcBorders>
              <w:right w:val="single" w:sz="8" w:color="auto"/>
            </w:tcBorders>
          </w:tcPr>
          <w:p>
            <w:pPr>
              <w:ind w:left="20"/>
              <w:spacing w:after="0" w:line="128" w:lineRule="exact"/>
              <w:rPr>
                <w:sz w:val="20"/>
                <w:szCs w:val="20"/>
                <w:color w:val="auto"/>
              </w:rPr>
            </w:pPr>
            <w:r>
              <w:rPr>
                <w:rFonts w:ascii="Arial" w:cs="Arial" w:eastAsia="Arial" w:hAnsi="Arial"/>
                <w:sz w:val="14"/>
                <w:szCs w:val="14"/>
                <w:color w:val="auto"/>
                <w:w w:val="96"/>
              </w:rPr>
              <w:t>Emerald Jewel Industry India Limited</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INDIA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 4)</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CID003497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K.A. Rasmussen</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NORWAY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CID003500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Alexy Metals</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CID003529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Sancus ZFS (L’Orfebre, SA)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COLOMBIA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CID003540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Sellem Industries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MAURITANIA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CID003548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MD Overseas</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CID003557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Metallix Refining Inc.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CID003575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 Concentrators SA (Pty)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SOUTH AFRICA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CID003615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WEEEREFINING</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FRANCE</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CID003641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Gold by Gold Colombia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COLOMBIA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CID003663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Dongwu Gold Group</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CID000004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A.L.M.T. Corp.</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17"/>
        </w:trPr>
        <w:tc>
          <w:tcPr>
            <w:tcW w:w="900" w:type="dxa"/>
            <w:vAlign w:val="bottom"/>
            <w:tcBorders>
              <w:left w:val="single" w:sz="8" w:color="auto"/>
              <w:right w:val="single" w:sz="8" w:color="auto"/>
            </w:tcBorders>
          </w:tcPr>
          <w:p>
            <w:pPr>
              <w:ind w:left="40"/>
              <w:spacing w:after="0" w:line="101" w:lineRule="exact"/>
              <w:rPr>
                <w:sz w:val="20"/>
                <w:szCs w:val="20"/>
                <w:color w:val="auto"/>
              </w:rPr>
            </w:pPr>
            <w:r>
              <w:rPr>
                <w:rFonts w:ascii="Arial" w:cs="Arial" w:eastAsia="Arial" w:hAnsi="Arial"/>
                <w:sz w:val="11"/>
                <w:szCs w:val="11"/>
                <w:color w:val="auto"/>
              </w:rPr>
              <w:t>Tungsten</w:t>
            </w:r>
          </w:p>
        </w:tc>
        <w:tc>
          <w:tcPr>
            <w:tcW w:w="1260" w:type="dxa"/>
            <w:vAlign w:val="bottom"/>
            <w:tcBorders>
              <w:right w:val="single" w:sz="8" w:color="auto"/>
            </w:tcBorders>
          </w:tcPr>
          <w:p>
            <w:pPr>
              <w:ind w:left="20"/>
              <w:spacing w:after="0" w:line="101" w:lineRule="exact"/>
              <w:rPr>
                <w:sz w:val="20"/>
                <w:szCs w:val="20"/>
                <w:color w:val="auto"/>
              </w:rPr>
            </w:pPr>
            <w:r>
              <w:rPr>
                <w:rFonts w:ascii="Arial" w:cs="Arial" w:eastAsia="Arial" w:hAnsi="Arial"/>
                <w:sz w:val="11"/>
                <w:szCs w:val="11"/>
                <w:color w:val="auto"/>
              </w:rPr>
              <w:t>CID000105</w:t>
            </w:r>
          </w:p>
        </w:tc>
        <w:tc>
          <w:tcPr>
            <w:tcW w:w="2260" w:type="dxa"/>
            <w:vAlign w:val="bottom"/>
            <w:tcBorders>
              <w:right w:val="single" w:sz="8" w:color="auto"/>
            </w:tcBorders>
          </w:tcPr>
          <w:p>
            <w:pPr>
              <w:ind w:left="20"/>
              <w:spacing w:after="0" w:line="101" w:lineRule="exact"/>
              <w:rPr>
                <w:sz w:val="20"/>
                <w:szCs w:val="20"/>
                <w:color w:val="auto"/>
              </w:rPr>
            </w:pPr>
            <w:r>
              <w:rPr>
                <w:rFonts w:ascii="Arial" w:cs="Arial" w:eastAsia="Arial" w:hAnsi="Arial"/>
                <w:sz w:val="11"/>
                <w:szCs w:val="11"/>
                <w:color w:val="auto"/>
              </w:rPr>
              <w:t>Kennametal Huntsville</w:t>
            </w:r>
          </w:p>
        </w:tc>
        <w:tc>
          <w:tcPr>
            <w:tcW w:w="220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rPr>
              <w:t>U.S. OF AMERICA</w:t>
            </w:r>
          </w:p>
        </w:tc>
        <w:tc>
          <w:tcPr>
            <w:tcW w:w="112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rPr>
              <w:t>No</w:t>
            </w:r>
          </w:p>
        </w:tc>
        <w:tc>
          <w:tcPr>
            <w:tcW w:w="1180" w:type="dxa"/>
            <w:vAlign w:val="bottom"/>
            <w:tcBorders>
              <w:right w:val="single" w:sz="8" w:color="auto"/>
            </w:tcBorders>
          </w:tcPr>
          <w:p>
            <w:pPr>
              <w:ind w:left="20"/>
              <w:spacing w:after="0" w:line="101" w:lineRule="exact"/>
              <w:rPr>
                <w:sz w:val="20"/>
                <w:szCs w:val="20"/>
                <w:color w:val="auto"/>
              </w:rPr>
            </w:pPr>
            <w:r>
              <w:rPr>
                <w:rFonts w:ascii="Arial" w:cs="Arial" w:eastAsia="Arial" w:hAnsi="Arial"/>
                <w:sz w:val="11"/>
                <w:szCs w:val="11"/>
                <w:color w:val="auto"/>
              </w:rPr>
              <w:t>Conformant</w:t>
            </w:r>
          </w:p>
        </w:tc>
        <w:tc>
          <w:tcPr>
            <w:tcW w:w="980" w:type="dxa"/>
            <w:vAlign w:val="bottom"/>
            <w:tcBorders>
              <w:right w:val="single" w:sz="8" w:color="auto"/>
            </w:tcBorders>
          </w:tcPr>
          <w:p>
            <w:pPr>
              <w:spacing w:after="0"/>
              <w:rPr>
                <w:sz w:val="10"/>
                <w:szCs w:val="10"/>
                <w:color w:val="auto"/>
              </w:rPr>
            </w:pPr>
          </w:p>
        </w:tc>
        <w:tc>
          <w:tcPr>
            <w:tcW w:w="1200" w:type="dxa"/>
            <w:vAlign w:val="bottom"/>
          </w:tcPr>
          <w:p>
            <w:pPr>
              <w:ind w:left="20"/>
              <w:spacing w:after="0" w:line="101" w:lineRule="exact"/>
              <w:rPr>
                <w:sz w:val="20"/>
                <w:szCs w:val="20"/>
                <w:color w:val="auto"/>
              </w:rPr>
            </w:pPr>
            <w:r>
              <w:rPr>
                <w:rFonts w:ascii="Arial" w:cs="Arial" w:eastAsia="Arial" w:hAnsi="Arial"/>
                <w:sz w:val="11"/>
                <w:szCs w:val="11"/>
                <w:color w:val="auto"/>
              </w:rPr>
              <w:t>Unknown</w:t>
            </w:r>
          </w:p>
        </w:tc>
        <w:tc>
          <w:tcPr>
            <w:tcW w:w="0" w:type="dxa"/>
            <w:vAlign w:val="bottom"/>
          </w:tcPr>
          <w:p>
            <w:pPr>
              <w:spacing w:after="0"/>
              <w:rPr>
                <w:sz w:val="1"/>
                <w:szCs w:val="1"/>
                <w:color w:val="auto"/>
              </w:rPr>
            </w:pPr>
          </w:p>
        </w:tc>
      </w:tr>
    </w:tbl>
    <w:p>
      <w:pPr>
        <w:sectPr>
          <w:pgSz w:w="11900" w:h="16909" w:orient="portrait"/>
          <w:cols w:equalWidth="0" w:num="1">
            <w:col w:w="11100"/>
          </w:cols>
          <w:pgMar w:left="560" w:top="140" w:right="239" w:bottom="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80"/>
        </w:trPr>
        <w:tc>
          <w:tcPr>
            <w:tcW w:w="900" w:type="dxa"/>
            <w:vAlign w:val="bottom"/>
            <w:tcBorders>
              <w:left w:val="single" w:sz="8" w:color="auto"/>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2260" w:type="dxa"/>
            <w:vAlign w:val="bottom"/>
            <w:tcBorders>
              <w:bottom w:val="single" w:sz="8" w:color="auto"/>
              <w:right w:val="single" w:sz="8" w:color="auto"/>
            </w:tcBorders>
          </w:tcPr>
          <w:p>
            <w:pPr>
              <w:spacing w:after="0"/>
              <w:rPr>
                <w:sz w:val="6"/>
                <w:szCs w:val="6"/>
                <w:color w:val="auto"/>
              </w:rPr>
            </w:pPr>
          </w:p>
        </w:tc>
        <w:tc>
          <w:tcPr>
            <w:tcW w:w="220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900" w:type="dxa"/>
            <w:vAlign w:val="bottom"/>
            <w:tcBorders>
              <w:left w:val="single" w:sz="8" w:color="auto"/>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22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4"/>
                <w:szCs w:val="14"/>
                <w:color w:val="auto"/>
              </w:rPr>
              <w:t>Guangdong Xianglu Tungsten Co.,</w:t>
            </w:r>
          </w:p>
        </w:tc>
        <w:tc>
          <w:tcPr>
            <w:tcW w:w="22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CID000218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1"/>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4"/>
                <w:szCs w:val="14"/>
                <w:color w:val="auto"/>
              </w:rPr>
              <w:t>Chongyi Zhangyuan Tungsten Co.,</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CID000258</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CID000281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CNMC (Guangxi) PGMA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CID000499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Fujian Jinxin Tungsten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CID000568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Global Tungsten &amp; Powders Corp.</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CID000766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Hunan Chenzhou Mining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w w:val="93"/>
              </w:rPr>
              <w:t>Hunan Chunchang Nonferrous Metals</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CID000769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CID000825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Japan New Metals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w w:val="94"/>
              </w:rPr>
              <w:t>Ganzhou Huaxing Tungsten Products</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CID000875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CID000966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Kennametal Fallon</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CID001889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9"/>
              </w:rPr>
              <w:t>Tejing (Vietnam) Tungsten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VIET NAM</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CID002011</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w w:val="93"/>
              </w:rPr>
              <w:t>Vietnam Youngsun Tungsten Industry</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VIET NAM</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CID002044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Wolfram Bergbau und Hutten AG</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AUSTRIA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CID002047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WOLFRAM Company CJSC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CID002082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Xiamen Tungsten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w w:val="99"/>
              </w:rPr>
              <w:t>Xinhai Rendan Shaoguan Tungsten</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CID002095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1"/>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4"/>
                <w:szCs w:val="14"/>
                <w:color w:val="auto"/>
              </w:rPr>
              <w:t>Jiangxi Minmetals Gao'an Non-</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CID002313</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ferrous Metals Co., 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CID002315</w:t>
            </w:r>
          </w:p>
        </w:tc>
        <w:tc>
          <w:tcPr>
            <w:tcW w:w="2260" w:type="dxa"/>
            <w:vAlign w:val="bottom"/>
            <w:tcBorders>
              <w:right w:val="single" w:sz="8" w:color="auto"/>
            </w:tcBorders>
          </w:tcPr>
          <w:p>
            <w:pPr>
              <w:ind w:left="20"/>
              <w:spacing w:after="0" w:line="128" w:lineRule="exact"/>
              <w:rPr>
                <w:sz w:val="20"/>
                <w:szCs w:val="20"/>
                <w:color w:val="auto"/>
              </w:rPr>
            </w:pPr>
            <w:r>
              <w:rPr>
                <w:rFonts w:ascii="Arial" w:cs="Arial" w:eastAsia="Arial" w:hAnsi="Arial"/>
                <w:sz w:val="14"/>
                <w:szCs w:val="14"/>
                <w:color w:val="auto"/>
                <w:w w:val="94"/>
              </w:rPr>
              <w:t>Ganzhou Jiangwu Ferrotungsten Co.,</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Yes</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CID002316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5"/>
              </w:rPr>
              <w:t>Jiangxi Yaosheng Tungsten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CID002317</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w w:val="99"/>
              </w:rPr>
              <w:t>Jiangxi Xinsheng Tungsten Industry</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Yes</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Jiangxi Tonggu Non-ferrous</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CID002318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Metallurgical &amp; Chemical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CID002319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Malipo Haiyu Tungsten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CID002320</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Xiamen Tungsten (H.C.)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CID002321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Gan Bei Tungsten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Ganzhou Seadragon W &amp; Mo Co.,</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CID002494</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CID002502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5"/>
              </w:rPr>
              <w:t>Asia Tungsten Products Vietnam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VIETNAM</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9"/>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Chenzhou Diamond Tungsten</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CID002513</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Products Co., 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CID002536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Ganzhou Yatai Tungsten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H.C. Starck Tungsten GmbH</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GERMANY</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CID002542</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rPr>
              <w:t>TANIOBIS Smelting GmbH &amp; Co.</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GERMANY</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Yes</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KG</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CID002543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Masan High-Tech Materials</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VIETNAM</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CID002551</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rPr>
              <w:t>Jiangwu H.C. Starck Tungsten</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Products Co.,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w w:val="92"/>
              </w:rPr>
              <w:t>Hunan Chuangda Vanadium Tungsten</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CID002579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 Ltd. Wuji</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CID002589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Niagara Refining LLC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rPr>
              <w:t>China Molybdenum Tungsten Co.,</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CID002641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1"/>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4"/>
                <w:szCs w:val="14"/>
                <w:color w:val="auto"/>
              </w:rPr>
              <w:t>Ganzhou Haichuang Tungsten Co.,</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CID002645</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CID002647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Jiangxi Xianglu Tungsten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CID002649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Hydrometallurg, JSC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Yes</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CID002724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Unecha Refractory metals plant</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CID002815</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rPr>
              <w:t>South-East Nonferrous Metal</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9"/>
              </w:rPr>
              <w:t>Company Limited of Hengyang City</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w w:val="99"/>
              </w:rPr>
              <w:t>Philippine Chuangxin Industrial Co.,</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CID002827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PHILIPPINES</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41"/>
        </w:trPr>
        <w:tc>
          <w:tcPr>
            <w:tcW w:w="9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4"/>
                <w:szCs w:val="14"/>
                <w:color w:val="auto"/>
              </w:rPr>
              <w:t>Xinfeng Huarui Tungsten &amp;</w:t>
            </w:r>
          </w:p>
        </w:tc>
        <w:tc>
          <w:tcPr>
            <w:tcW w:w="22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CID002830</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8"/>
              </w:rPr>
              <w:t>Molybdenum New Material Co., Ltd.</w:t>
            </w:r>
          </w:p>
        </w:tc>
        <w:tc>
          <w:tcPr>
            <w:tcW w:w="2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25"/>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CID002833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ACL Metais Eireli</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CID002843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Woltech Korea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CID002845</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Moliren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CID003182</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w w:val="98"/>
              </w:rPr>
              <w:t>Hunan Litian Tungsten Industry Co.,</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CID003388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KGETS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CID003401</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Fujian Ganmin RareMetal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CID003407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Lianyou Metals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TAIWAN, PROVINCE OF 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CID003408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JSC "Kirovgrad Hard Alloys Plant"</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CID003416</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NPP Tyazhmetprom LLC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CID003417</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GEM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CID003427</w:t>
            </w:r>
          </w:p>
        </w:tc>
        <w:tc>
          <w:tcPr>
            <w:tcW w:w="226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4"/>
                <w:szCs w:val="14"/>
                <w:color w:val="auto"/>
              </w:rPr>
              <w:t>Albasteel Industria e Comercio de</w:t>
            </w:r>
          </w:p>
        </w:tc>
        <w:tc>
          <w:tcPr>
            <w:tcW w:w="22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BRAZIL</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right w:val="single" w:sz="8" w:color="auto"/>
            </w:tcBorders>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right w:val="single" w:sz="8" w:color="auto"/>
            </w:tcBorders>
            <w:vMerge w:val="continue"/>
          </w:tcPr>
          <w:p>
            <w:pPr>
              <w:spacing w:after="0"/>
              <w:rPr>
                <w:sz w:val="16"/>
                <w:szCs w:val="16"/>
                <w:color w:val="auto"/>
              </w:rPr>
            </w:pP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Ligas Para Fundicao Ltd.</w:t>
            </w:r>
          </w:p>
        </w:tc>
        <w:tc>
          <w:tcPr>
            <w:tcW w:w="220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CID003448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CP Metals Inc.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CID003468</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Cronimet Brasil Ltda</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CID003553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Artek LLC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CID003609</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Fujian Xinlu Tungsten Co., Ltd.</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CID003612</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OOO "Technolom" 2</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1"/>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CID003614</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OOO "Technolom" 1</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94"/>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CID003643</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LLC Vostok</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00"/>
      </w:cols>
      <w:pgMar w:left="560" w:top="140" w:right="239" w:bottom="30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24"/>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2023-05-31T12:15:01Z</dcterms:created>
  <dcterms:modified xsi:type="dcterms:W3CDTF">2023-05-31T12:15:01Z</dcterms:modified>
</cp:coreProperties>
</file>