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July 31, 2024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July 31, 2024, Graham Holdings Company issued a press release announcing the Company’s earnings for the second quarter ended June 30, 2024.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79" w:right="7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July 31, 2024.</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July 31, 2024</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ARLINGTON, VA - Graham Holdings Company (NYSE: GHC) today reported its financial results for the second quarter and first six months of 2024. The Company also filed its Form 10-Q today for the quarter ended June 30, 2024 with the Securities and Exchange Commission.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second quarter of 2024 was $1,185.3 million, up 7% from $1,105.0 million in the second quarter of 2023. Revenues</w:t>
      </w:r>
    </w:p>
    <w:p>
      <w:pPr>
        <w:spacing w:after="0" w:line="14"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increased at education, healthcare and automotive, partially offset by declines at television broadcasting, manufacturing and other businesses. The Company reported operating income of $25.9 million for the second quarter of 2024, compared to $58.1 million for the</w:t>
      </w:r>
    </w:p>
    <w:p>
      <w:pPr>
        <w:spacing w:after="0" w:line="235" w:lineRule="auto"/>
        <w:rPr>
          <w:sz w:val="20"/>
          <w:szCs w:val="20"/>
          <w:color w:val="auto"/>
        </w:rPr>
      </w:pPr>
      <w:r>
        <w:rPr>
          <w:rFonts w:ascii="Arial" w:cs="Arial" w:eastAsia="Arial" w:hAnsi="Arial"/>
          <w:sz w:val="18"/>
          <w:szCs w:val="18"/>
          <w:color w:val="auto"/>
        </w:rPr>
        <w:t>second quarter of 2023. The decrease in operating results is due to goodwill and intangible asset impairment charges at World of Good</w:t>
      </w:r>
    </w:p>
    <w:p>
      <w:pPr>
        <w:ind w:right="20"/>
        <w:spacing w:after="0" w:line="226" w:lineRule="auto"/>
        <w:rPr>
          <w:sz w:val="20"/>
          <w:szCs w:val="20"/>
          <w:color w:val="auto"/>
        </w:rPr>
      </w:pPr>
      <w:r>
        <w:rPr>
          <w:rFonts w:ascii="Arial" w:cs="Arial" w:eastAsia="Arial" w:hAnsi="Arial"/>
          <w:sz w:val="18"/>
          <w:szCs w:val="18"/>
          <w:color w:val="auto"/>
        </w:rPr>
        <w:t>Brands (WGB) and declines at television broadcasting, manufacturing and other businesses, partially offset by increases at education, healthcare and automotive. The Company reported adjusted operating cash flow (non-GAAP) of $98.5 million for the second quarter of 2024,</w:t>
      </w:r>
    </w:p>
    <w:p>
      <w:pPr>
        <w:spacing w:after="0" w:line="236" w:lineRule="auto"/>
        <w:rPr>
          <w:sz w:val="20"/>
          <w:szCs w:val="20"/>
          <w:color w:val="auto"/>
        </w:rPr>
      </w:pPr>
      <w:r>
        <w:rPr>
          <w:rFonts w:ascii="Arial" w:cs="Arial" w:eastAsia="Arial" w:hAnsi="Arial"/>
          <w:sz w:val="18"/>
          <w:szCs w:val="18"/>
          <w:color w:val="auto"/>
        </w:rPr>
        <w:t>compared to $100.0 million for the second quarter of 2023. Adjusted operating cash flow declined at television broadcasting, manufacturing</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and other businesses, partially offset by increases at education, healthcare and automotive. Capital expenditures totaled $20.8 million and $22.5 million for the second quarter of 2024 and 2023,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six months of 2024 was $2,337.9 million, up 9% from $2,136.5 million in the first six months of 2023. Revenues</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increased at education, healthcare and automotive, partially offset by declines at television broadcasting, manufacturing and other businesses. The Company recorded operated income of $61.4 million for the first six months of 2024, compared to $85.7 million for the first</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six months of 2023. The decrease in operating results is due to goodwill and intangible asset impairment charges at WGB and declines at television broadcasting, manufacturing, automotive and other businesses, partially offset by increases at education and healthcare. The</w:t>
      </w:r>
    </w:p>
    <w:p>
      <w:pPr>
        <w:spacing w:after="0" w:line="236" w:lineRule="auto"/>
        <w:rPr>
          <w:sz w:val="20"/>
          <w:szCs w:val="20"/>
          <w:color w:val="auto"/>
        </w:rPr>
      </w:pPr>
      <w:r>
        <w:rPr>
          <w:rFonts w:ascii="Arial" w:cs="Arial" w:eastAsia="Arial" w:hAnsi="Arial"/>
          <w:sz w:val="18"/>
          <w:szCs w:val="18"/>
          <w:color w:val="auto"/>
        </w:rPr>
        <w:t>Company reported adjusted operating cash flow (non-GAAP) of $181.3 million for the first six months of 2024, compared to $171.6 million for</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 first six months of 2023. Adjusted operating cash flow improved at education, healthcare, automotive and other businesses, partially offset by declines at manufacturing. Capital expenditures totaled $42.2 million and $44.8 million for the first six months of 2024 and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business acquisitions or dispositions during the first six months of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At June 30, 2024, the Company had $834.8 million in borrowings outstanding at an average interest rate of 6.4%, including $132.2 million outstanding on its $300 million revolving credit facility. Cash, marketable equity securities and other investments totaled $1,009.6 million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2024.</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Overall, the Company recognized $19.6 million and $123.8 million in net gains on marketable equity securities in the second quarter and first six months of 2024, respectively, compared to $78.6 million and $96.7 million in net gains on marketable equity securities in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six months of 2023,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During the second quarter and first six months of 2024, the Company purchased a total of 40,180 and 68,786 shares, respectively, of its Class B common stock at a cost of $29.5 million and $49.5 million, respectively. At June 30, 2024, there were 4,410,542 shares outstanding.</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May 4, 2023, the Board of Directors authorized the Company to acquire up to 500,000 shares of its Class B common stock; the Company has remaining authorization for 167,617 shares as of June 30,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Mandatorily Redeemable Noncontrolling Interest</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recorded interest expense of $73.5 million and $75.4 million in the second quarter and first six months of 2024, respectively, to adjust the fair value of the mandatorily redeemable noncontrolling interest at Graham Healthcare Group (GHG). The significant adjustment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recorded in the first half of 2024 is largely related to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ind w:right="60"/>
        <w:spacing w:after="0" w:line="271" w:lineRule="auto"/>
        <w:rPr>
          <w:sz w:val="20"/>
          <w:szCs w:val="20"/>
          <w:color w:val="auto"/>
        </w:rPr>
      </w:pPr>
      <w:r>
        <w:rPr>
          <w:rFonts w:ascii="Arial" w:cs="Arial" w:eastAsia="Arial" w:hAnsi="Arial"/>
          <w:sz w:val="18"/>
          <w:szCs w:val="18"/>
          <w:color w:val="auto"/>
        </w:rPr>
        <w:t>substantial increase in the estimated fair value of CSI Pharmacy Holding Company, LLC (CSI). Refer to Notes 7 and 8 in the Company’s 10-Q filing for the second quarter of 2024 for additional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a net loss attributable to common shares of $21.0 million ($4.79 per share) for the second quarter of 2024, compared</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to income of $122.8 million ($25.89 per share) for the second quarter of 2023. For the first six months of 2024, the Company recorded net income attributable to common shares of $103.3 million ($23.11 per share), compared to $175.1 million ($36.67 per share) for the first six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months of 2023.</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results for the second quarter and first six months of 2024 and 2023 were affected by a number of items as described in the Non-GAAP Financial Information schedule attached to this release. Excluding these items, net income attributable to common shares was $56.9 million</w:t>
      </w:r>
    </w:p>
    <w:p>
      <w:pPr>
        <w:spacing w:after="0" w:line="235" w:lineRule="auto"/>
        <w:rPr>
          <w:sz w:val="20"/>
          <w:szCs w:val="20"/>
          <w:color w:val="auto"/>
        </w:rPr>
      </w:pPr>
      <w:r>
        <w:rPr>
          <w:rFonts w:ascii="Arial" w:cs="Arial" w:eastAsia="Arial" w:hAnsi="Arial"/>
          <w:sz w:val="18"/>
          <w:szCs w:val="18"/>
          <w:color w:val="auto"/>
        </w:rPr>
        <w:t>($12.70 per share) for the second quarter of 2024, compared to $61.1 million ($12.88 per share) for the second quarter of 2023. Excluding</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these items, net income attributable to common shares was $107.3 million ($23.99 per share) for the first six months of 2024, compared to $101.4 million ($21.24 per share) for the first six months of 2023.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 * *</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39"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2023 Annual Report to Stockholders, are “forward-</w:t>
      </w:r>
    </w:p>
    <w:p>
      <w:pPr>
        <w:spacing w:after="0" w:line="235" w:lineRule="auto"/>
        <w:rPr>
          <w:sz w:val="20"/>
          <w:szCs w:val="20"/>
          <w:color w:val="auto"/>
        </w:rPr>
      </w:pPr>
      <w:r>
        <w:rPr>
          <w:rFonts w:ascii="Arial" w:cs="Arial" w:eastAsia="Arial" w:hAnsi="Arial"/>
          <w:sz w:val="18"/>
          <w:szCs w:val="18"/>
          <w:color w:val="auto"/>
        </w:rPr>
        <w:t>looking statements” within the meaning of the Private Securities Litigation Reform Act of 1995. Forward-looking statements are based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 could cause actual results to differ from those stated, including, without limitation, comments about expectations related to acquisitions or</w:t>
      </w:r>
    </w:p>
    <w:p>
      <w:pPr>
        <w:spacing w:after="0" w:line="235"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w:t>
      </w:r>
    </w:p>
    <w:p>
      <w:pPr>
        <w:ind w:right="20"/>
        <w:spacing w:after="0"/>
        <w:rPr>
          <w:sz w:val="20"/>
          <w:szCs w:val="20"/>
          <w:color w:val="auto"/>
        </w:rPr>
      </w:pPr>
      <w:r>
        <w:rPr>
          <w:rFonts w:ascii="Arial" w:cs="Arial" w:eastAsia="Arial" w:hAnsi="Arial"/>
          <w:sz w:val="17"/>
          <w:szCs w:val="17"/>
          <w:color w:val="auto"/>
        </w:rPr>
        <w:t>various business operations, the Company’s future financial performance, and the risks and uncertainties described in Item 1A of the 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039"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1,185,280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1,104,999</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1,100,851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1,012,537</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22,173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21,103</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10,058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13,304</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26,287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25,911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58,055</w:t>
            </w: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(6,115)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1,548</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(91,383)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(11,774)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24,655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29,815</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19,628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78,648</w:t>
            </w: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15,794</w:t>
            </w: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(14,727)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165,971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4,100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41,800</w:t>
            </w: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(18,827)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124,171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122,788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net (loss)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25.96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(loss)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25.89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8" w:name="page9"/>
    <w:bookmarkEnd w:id="8"/>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2,337,942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2,136,545</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2,184,793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1,981,713</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44,700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41,128</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20,809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27,248</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26,287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61,353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85,711</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4,891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4,289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2,752</w:t>
            </w: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(110,711)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(26,068)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67,072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61,660</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123,780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96,670</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3,438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154,112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238,148</w:t>
            </w: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47,600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61,000</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106,512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177,148</w:t>
            </w: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w:t>
            </w: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103,340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175,060</w:t>
            </w: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23.24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36.78</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4,416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4,729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23.11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36.67</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4,442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25"/>
        </w:trPr>
        <w:tc>
          <w:tcPr>
            <w:tcW w:w="4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422,899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402,227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845,497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780,268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115,478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118,829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228,536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231,706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103,626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120,082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205,529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234,666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147,528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113,282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275,729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215,341</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308,814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260,672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612,654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493,233</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86,991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90,449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170,289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182,457</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1,185,280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1,104,999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2,337,942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2,136,545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387,622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372,111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779,633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727,112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84,350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85,639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167,775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169,933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99,361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108,100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198,195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215,356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134,791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104,905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256,901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204,028</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298,611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251,212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592,799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472,930</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139,953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114,310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252,205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237,319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15,312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30,524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26,132</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1,159,369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1,046,944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2,276,589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2,050,834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35,277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30,116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65,864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53,156</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31,128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33,190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60,761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61,773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4,265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11,982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7,334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19,310</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12,737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8,377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18,828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11,313</w:t>
            </w: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10,203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19,855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20,303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(52,962)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(23,861)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(81,916)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(54,862)</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(14,737)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(29,373)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(25,282)</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25,911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61,353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85,711</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2,872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3,984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8,400</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2,710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2,648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4,332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5,768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9,194</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1,234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1,836</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28,862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31,533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36,345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47,096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27,993</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Assets and Impairment of Goodwill and Other Long-Lived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38,149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34,100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71,710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61,556</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32,488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34,553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63,471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64,498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6,913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16,314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13,102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28,504</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13,335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20,062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13,149</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10,208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19,860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20,303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(24,100)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(21,118)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(50,383)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(49,024)</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(14,737)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(29,373)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(25,282)</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6"/>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62,256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108,449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113,704</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716"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93" w:right="339" w:bottom="716"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2023</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8,855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9,460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18,160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18,428</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2,870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3,087</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5,738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6,123</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2,694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2,287</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5,409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4,569</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1,683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1,287</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3,277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2,391</w:t>
            </w: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1,716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3,429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2,261</w:t>
            </w: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4,204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8,387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7,050</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300</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22,173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44,700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41,128</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4,712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8,822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4,454</w:t>
            </w: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1,416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3,055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1,665</w:t>
            </w: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292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556</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4,851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9,609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7,042</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1,674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3,614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1,084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14,071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28,105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16,816</w:t>
            </w: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46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51,716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45,816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98,692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84,438</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36,774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38,445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72,264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72,286</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9,899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18,882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19,430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33,629</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19,869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13,231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32,948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22,582</w:t>
            </w: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11,966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10,613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23,346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22,574</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(18,222)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(16,824)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(38,382)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(40,789)</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(13,502)</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(27,044)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(23,072)</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6"/>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98,500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100,035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181,254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171,648</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260" w:hanging="271"/>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1102"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color w:val="auto"/>
              </w:rPr>
              <w:t>%</w:t>
            </w:r>
          </w:p>
        </w:tc>
      </w:t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2023</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267,026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237,663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536,824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464,739</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81,041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90,291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161,163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168,632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73,133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74,616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145,255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148,203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2,993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2,887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5,581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422,899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402,227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845,497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780,268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241,202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216,912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479,688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422,687</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66,687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72,496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141,290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143,754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67,461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71,104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135,003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140,940</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11,048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10,711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21,221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17,921</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2,872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3,984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5,846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7,923</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(1,648)</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387,622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372,111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779,633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727,112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25,824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20,751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57,136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42,052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14,354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17,795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19,873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24,878</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5,672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10,252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7,263</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(8,055)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(7,824)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(15,640)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(12,662)</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(3,984)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(5,846)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(7,923)</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35,277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65,864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53,156</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61"/>
        </w:trPr>
        <w:tc>
          <w:tcPr>
            <w:tcW w:w="46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60" w:type="dxa"/>
            <w:vAlign w:val="bottom"/>
          </w:tcPr>
          <w:p>
            <w:pPr>
              <w:ind w:left="100"/>
              <w:spacing w:after="0"/>
              <w:rPr>
                <w:sz w:val="20"/>
                <w:szCs w:val="20"/>
                <w:color w:val="auto"/>
              </w:rPr>
            </w:pPr>
            <w:r>
              <w:rPr>
                <w:rFonts w:ascii="Arial" w:cs="Arial" w:eastAsia="Arial" w:hAnsi="Arial"/>
                <w:sz w:val="16"/>
                <w:szCs w:val="16"/>
                <w:b w:val="1"/>
                <w:bCs w:val="1"/>
                <w:color w:val="auto"/>
              </w:rPr>
              <w:t>Assets and Impairment of Long-Lived Assets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25,824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20,751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57,136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42,052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14,354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17,795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19,873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24,878</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5,672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10,252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7,263</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(8,055)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(7,824)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(15,640)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(12,662)</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38,149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34,100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71,710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61,556</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7,177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14,533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13,233</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799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1,702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857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1,876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2,970</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8,855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18,160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166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2,045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3,826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2,094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3,912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2,047</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407</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78</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4,712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8,822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46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33,167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27,735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71,998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55,446</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17,198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19,789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25,401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28,896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8,623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5,996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16,040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12,280</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(7,626)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(7,570)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(14,836)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(12,209)</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51,716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98,692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84,438</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40" w:hanging="271"/>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140"/>
          </w:cols>
          <w:pgMar w:left="320" w:top="1093" w:right="439" w:bottom="230" w:gutter="0" w:footer="0" w:header="0"/>
        </w:sectPr>
      </w:pP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40"/>
          </w:cols>
          <w:pgMar w:left="320" w:top="1093" w:right="439" w:bottom="23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03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Three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4"/>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44"/>
              <w:spacing w:after="0" w:line="162"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4"/>
                <w:szCs w:val="14"/>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120" w:type="dxa"/>
            <w:vAlign w:val="bottom"/>
          </w:tcPr>
          <w:p>
            <w:pPr>
              <w:spacing w:after="0"/>
              <w:rPr>
                <w:sz w:val="14"/>
                <w:szCs w:val="14"/>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Net (Loss)</w:t>
            </w: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4"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restart"/>
          </w:tcPr>
          <w:p>
            <w:pPr>
              <w:jc w:val="center"/>
              <w:ind w:right="124"/>
              <w:spacing w:after="0" w:line="164"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24"/>
              <w:spacing w:after="0" w:line="164"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120" w:type="dxa"/>
            <w:vAlign w:val="bottom"/>
          </w:tcPr>
          <w:p>
            <w:pPr>
              <w:spacing w:after="0"/>
              <w:rPr>
                <w:sz w:val="7"/>
                <w:szCs w:val="7"/>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4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(14,727)</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4,100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(18,827)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165,971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41,800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124,171</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(2,213)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(1,383)</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(21,040)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122,788</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tcPr>
          <w:p>
            <w:pPr>
              <w:ind w:left="400"/>
              <w:spacing w:after="0"/>
              <w:rPr>
                <w:sz w:val="20"/>
                <w:szCs w:val="20"/>
                <w:color w:val="auto"/>
              </w:rPr>
            </w:pPr>
            <w:r>
              <w:rPr>
                <w:rFonts w:ascii="Arial" w:cs="Arial" w:eastAsia="Arial" w:hAnsi="Arial"/>
                <w:sz w:val="15"/>
                <w:szCs w:val="15"/>
                <w:color w:val="auto"/>
              </w:rPr>
              <w:t>Net credit related to fair value changes in contingent consideration</w:t>
            </w:r>
          </w:p>
        </w:tc>
        <w:tc>
          <w:tcPr>
            <w:tcW w:w="160" w:type="dxa"/>
            <w:vAlign w:val="bottom"/>
          </w:tcPr>
          <w:p>
            <w:pPr>
              <w:spacing w:after="0"/>
              <w:rPr>
                <w:sz w:val="16"/>
                <w:szCs w:val="16"/>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(4,797)</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(4,653)</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26,287</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5,693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20,594</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Voluntary Retirement Incentive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16,410</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4,201</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12,209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5,517</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1,419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(credit)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73,539</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12,145</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61,394</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(1,179)</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(19,628)</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(5,026)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(14,602)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(78,648)</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(20,704)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(57,944)</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1,128</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289</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839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8,633</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2,273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6,360</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WGB websites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(3,483)</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(760)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(2,723)</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(10,033)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(2,641)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(7,392)</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(gain) from impairment, write-up and sale of</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337</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86</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251</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(1,320)</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(347)</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(973)</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56,922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61,132</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(loss)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25.89</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tcPr>
          <w:p>
            <w:pPr>
              <w:ind w:left="400"/>
              <w:spacing w:after="0"/>
              <w:rPr>
                <w:sz w:val="20"/>
                <w:szCs w:val="20"/>
                <w:color w:val="auto"/>
              </w:rPr>
            </w:pPr>
            <w:r>
              <w:rPr>
                <w:rFonts w:ascii="Arial" w:cs="Arial" w:eastAsia="Arial" w:hAnsi="Arial"/>
                <w:sz w:val="15"/>
                <w:szCs w:val="15"/>
                <w:color w:val="auto"/>
              </w:rPr>
              <w:t>Net credit related to fair value changes in contingent consideration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(0.98)</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4.62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Voluntary Retirement Incentive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2.74</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0.86</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(credit)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13.77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(3.28)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WGB websites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(0.61)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(gain) from impairment, write-up and sale of</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0.06</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39" w:right="339" w:bottom="1440" w:gutter="0" w:footer="0" w:header="0"/>
          <w:type w:val="continuous"/>
        </w:sectPr>
      </w:pPr>
    </w:p>
    <w:bookmarkStart w:id="14" w:name="page15"/>
    <w:bookmarkEnd w:id="14"/>
    <w:p>
      <w:pPr>
        <w:ind w:left="7020"/>
        <w:spacing w:after="0"/>
        <w:rPr>
          <w:sz w:val="20"/>
          <w:szCs w:val="20"/>
          <w:color w:val="auto"/>
        </w:rPr>
      </w:pPr>
      <w:r>
        <w:rPr>
          <w:rFonts w:ascii="Arial" w:cs="Arial" w:eastAsia="Arial" w:hAnsi="Arial"/>
          <w:sz w:val="16"/>
          <w:szCs w:val="16"/>
          <w:b w:val="1"/>
          <w:bCs w:val="1"/>
          <w:color w:val="auto"/>
        </w:rPr>
        <w:t>Six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44"/>
              <w:spacing w:after="0" w:line="169"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88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10"/>
                <w:szCs w:val="10"/>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8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88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154,112</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47,600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106,512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238,148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61,000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177,148</w:t>
            </w: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(3,172)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(2,088)</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103,340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175,060</w:t>
            </w:r>
          </w:p>
        </w:tc>
        <w:tc>
          <w:tcPr>
            <w:tcW w:w="0" w:type="dxa"/>
            <w:vAlign w:val="bottom"/>
          </w:tcPr>
          <w:p>
            <w:pPr>
              <w:spacing w:after="0"/>
              <w:rPr>
                <w:sz w:val="1"/>
                <w:szCs w:val="1"/>
                <w:color w:val="auto"/>
              </w:rPr>
            </w:pPr>
          </w:p>
        </w:tc>
      </w:tr>
      <w:tr>
        <w:trPr>
          <w:trHeight w:val="190"/>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80" w:type="dxa"/>
            <w:vAlign w:val="bottom"/>
          </w:tcPr>
          <w:p>
            <w:pPr>
              <w:ind w:left="400"/>
              <w:spacing w:after="0"/>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consideration from prior acquisitions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(4,688)</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(4,545)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26,287</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5,693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20,594</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Voluntary Retirement Incentive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16,828</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4,308</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12,520</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9,646</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2,481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7,165</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75,415</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12,241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63,174</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289</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(123,780)</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(31,693)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(92,087)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(96,670)</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(25,448)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(71,222)</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2,615</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670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1,945</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6,820</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1,795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5,025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certain WGB websites</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(3,483)</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(760)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(2,723)</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(10,033)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(2,641)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(7,392)</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Non-operating loss (gain) from impairment, write-up and sales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744</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191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(3,935)</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(1,008)</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(2,927)</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107,316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101,406</w:t>
            </w:r>
          </w:p>
        </w:tc>
        <w:tc>
          <w:tcPr>
            <w:tcW w:w="0" w:type="dxa"/>
            <w:vAlign w:val="bottom"/>
          </w:tcPr>
          <w:p>
            <w:pPr>
              <w:spacing w:after="0"/>
              <w:rPr>
                <w:sz w:val="1"/>
                <w:szCs w:val="1"/>
                <w:color w:val="auto"/>
              </w:rPr>
            </w:pPr>
          </w:p>
        </w:tc>
      </w:tr>
      <w:tr>
        <w:trPr>
          <w:trHeight w:val="298"/>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23.11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36.67</w:t>
            </w:r>
          </w:p>
        </w:tc>
        <w:tc>
          <w:tcPr>
            <w:tcW w:w="0" w:type="dxa"/>
            <w:vAlign w:val="bottom"/>
          </w:tcPr>
          <w:p>
            <w:pPr>
              <w:spacing w:after="0"/>
              <w:rPr>
                <w:sz w:val="1"/>
                <w:szCs w:val="1"/>
                <w:color w:val="auto"/>
              </w:rPr>
            </w:pPr>
          </w:p>
        </w:tc>
      </w:tr>
      <w:tr>
        <w:trPr>
          <w:trHeight w:val="190"/>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80" w:type="dxa"/>
            <w:vAlign w:val="bottom"/>
          </w:tcPr>
          <w:p>
            <w:pPr>
              <w:ind w:left="400"/>
              <w:spacing w:after="0"/>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consideration from prior acquisitions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4.60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Voluntary Retirement Incentive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2.80</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14.13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(20.59)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(14.92)</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0.43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certain WGB websites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(0.61)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Non-operating loss (gain) from impairment, write-up and sales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0.12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(0.61)</w:t>
            </w: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23.99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2024-07-31T07:37:08Z</dcterms:created>
  <dcterms:modified xsi:type="dcterms:W3CDTF">2024-07-31T07:37:08Z</dcterms:modified>
</cp:coreProperties>
</file>