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274320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342265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30, 2019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300" w:type="dxa"/>
        <w:tblCellMar>
          <w:top w:w="0" w:type="dxa"/>
          <w:left w:w="0" w:type="dxa"/>
          <w:bottom w:w="0" w:type="dxa"/>
          <w:right w:w="0" w:type="dxa"/>
        </w:tblCellMar>
      </w:tblPr>
      <w:tr>
        <w:trPr>
          <w:trHeight w:val="253"/>
        </w:trPr>
        <w:tc>
          <w:tcPr>
            <w:tcW w:w="1960" w:type="dxa"/>
            <w:vAlign w:val="bottom"/>
          </w:tcPr>
          <w:p>
            <w:pPr>
              <w:spacing w:after="0"/>
              <w:rPr>
                <w:sz w:val="21"/>
                <w:szCs w:val="21"/>
                <w:color w:val="auto"/>
              </w:rPr>
            </w:pPr>
          </w:p>
        </w:tc>
        <w:tc>
          <w:tcPr>
            <w:tcW w:w="180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rPr>
              <w:t>Delaware</w:t>
            </w:r>
          </w:p>
        </w:tc>
        <w:tc>
          <w:tcPr>
            <w:tcW w:w="260" w:type="dxa"/>
            <w:vAlign w:val="bottom"/>
          </w:tcPr>
          <w:p>
            <w:pPr>
              <w:spacing w:after="0"/>
              <w:rPr>
                <w:sz w:val="21"/>
                <w:szCs w:val="21"/>
                <w:color w:val="auto"/>
              </w:rPr>
            </w:pPr>
          </w:p>
        </w:tc>
        <w:tc>
          <w:tcPr>
            <w:tcW w:w="3300" w:type="dxa"/>
            <w:vAlign w:val="bottom"/>
          </w:tcPr>
          <w:p>
            <w:pPr>
              <w:jc w:val="center"/>
              <w:ind w:left="339"/>
              <w:spacing w:after="0"/>
              <w:rPr>
                <w:sz w:val="20"/>
                <w:szCs w:val="20"/>
                <w:color w:val="auto"/>
              </w:rPr>
            </w:pPr>
            <w:r>
              <w:rPr>
                <w:rFonts w:ascii="Arial" w:cs="Arial" w:eastAsia="Arial" w:hAnsi="Arial"/>
                <w:sz w:val="18"/>
                <w:szCs w:val="18"/>
                <w:b w:val="1"/>
                <w:bCs w:val="1"/>
                <w:color w:val="auto"/>
              </w:rPr>
              <w:t>001-06714</w:t>
            </w:r>
          </w:p>
        </w:tc>
        <w:tc>
          <w:tcPr>
            <w:tcW w:w="218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75"/>
        </w:trPr>
        <w:tc>
          <w:tcPr>
            <w:tcW w:w="3760" w:type="dxa"/>
            <w:vAlign w:val="bottom"/>
            <w:gridSpan w:val="3"/>
          </w:tcPr>
          <w:p>
            <w:pPr>
              <w:jc w:val="center"/>
              <w:ind w:left="944"/>
              <w:spacing w:after="0"/>
              <w:rPr>
                <w:sz w:val="20"/>
                <w:szCs w:val="20"/>
                <w:color w:val="auto"/>
              </w:rPr>
            </w:pPr>
            <w:r>
              <w:rPr>
                <w:rFonts w:ascii="Arial" w:cs="Arial" w:eastAsia="Arial" w:hAnsi="Arial"/>
                <w:sz w:val="14"/>
                <w:szCs w:val="14"/>
                <w:b w:val="1"/>
                <w:bCs w:val="1"/>
                <w:color w:val="auto"/>
              </w:rPr>
              <w:t>(State or other jurisdiction of</w:t>
            </w:r>
          </w:p>
        </w:tc>
        <w:tc>
          <w:tcPr>
            <w:tcW w:w="260" w:type="dxa"/>
            <w:vAlign w:val="bottom"/>
          </w:tcPr>
          <w:p>
            <w:pPr>
              <w:spacing w:after="0"/>
              <w:rPr>
                <w:sz w:val="15"/>
                <w:szCs w:val="15"/>
                <w:color w:val="auto"/>
              </w:rPr>
            </w:pPr>
          </w:p>
        </w:tc>
        <w:tc>
          <w:tcPr>
            <w:tcW w:w="3300" w:type="dxa"/>
            <w:vAlign w:val="bottom"/>
          </w:tcPr>
          <w:p>
            <w:pPr>
              <w:jc w:val="center"/>
              <w:ind w:left="339"/>
              <w:spacing w:after="0"/>
              <w:rPr>
                <w:sz w:val="20"/>
                <w:szCs w:val="20"/>
                <w:color w:val="auto"/>
              </w:rPr>
            </w:pPr>
            <w:r>
              <w:rPr>
                <w:rFonts w:ascii="Arial" w:cs="Arial" w:eastAsia="Arial" w:hAnsi="Arial"/>
                <w:sz w:val="14"/>
                <w:szCs w:val="14"/>
                <w:b w:val="1"/>
                <w:bCs w:val="1"/>
                <w:color w:val="auto"/>
              </w:rPr>
              <w:t>(Commission</w:t>
            </w:r>
          </w:p>
        </w:tc>
        <w:tc>
          <w:tcPr>
            <w:tcW w:w="2180" w:type="dxa"/>
            <w:vAlign w:val="bottom"/>
          </w:tcPr>
          <w:p>
            <w:pPr>
              <w:jc w:val="center"/>
              <w:ind w:left="90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2"/>
        </w:trPr>
        <w:tc>
          <w:tcPr>
            <w:tcW w:w="3760" w:type="dxa"/>
            <w:vAlign w:val="bottom"/>
            <w:gridSpan w:val="3"/>
          </w:tcPr>
          <w:p>
            <w:pPr>
              <w:jc w:val="center"/>
              <w:ind w:left="944"/>
              <w:spacing w:after="0"/>
              <w:rPr>
                <w:sz w:val="20"/>
                <w:szCs w:val="20"/>
                <w:color w:val="auto"/>
              </w:rPr>
            </w:pPr>
            <w:r>
              <w:rPr>
                <w:rFonts w:ascii="Arial" w:cs="Arial" w:eastAsia="Arial" w:hAnsi="Arial"/>
                <w:sz w:val="14"/>
                <w:szCs w:val="14"/>
                <w:b w:val="1"/>
                <w:bCs w:val="1"/>
                <w:color w:val="auto"/>
              </w:rPr>
              <w:t>incorporation)</w:t>
            </w:r>
          </w:p>
        </w:tc>
        <w:tc>
          <w:tcPr>
            <w:tcW w:w="260" w:type="dxa"/>
            <w:vAlign w:val="bottom"/>
          </w:tcPr>
          <w:p>
            <w:pPr>
              <w:spacing w:after="0"/>
              <w:rPr>
                <w:sz w:val="17"/>
                <w:szCs w:val="17"/>
                <w:color w:val="auto"/>
              </w:rPr>
            </w:pPr>
          </w:p>
        </w:tc>
        <w:tc>
          <w:tcPr>
            <w:tcW w:w="3300" w:type="dxa"/>
            <w:vAlign w:val="bottom"/>
          </w:tcPr>
          <w:p>
            <w:pPr>
              <w:jc w:val="center"/>
              <w:ind w:left="339"/>
              <w:spacing w:after="0"/>
              <w:rPr>
                <w:sz w:val="20"/>
                <w:szCs w:val="20"/>
                <w:color w:val="auto"/>
              </w:rPr>
            </w:pPr>
            <w:r>
              <w:rPr>
                <w:rFonts w:ascii="Arial" w:cs="Arial" w:eastAsia="Arial" w:hAnsi="Arial"/>
                <w:sz w:val="14"/>
                <w:szCs w:val="14"/>
                <w:b w:val="1"/>
                <w:bCs w:val="1"/>
                <w:color w:val="auto"/>
              </w:rPr>
              <w:t>File Number)</w:t>
            </w:r>
          </w:p>
        </w:tc>
        <w:tc>
          <w:tcPr>
            <w:tcW w:w="2180" w:type="dxa"/>
            <w:vAlign w:val="bottom"/>
          </w:tcPr>
          <w:p>
            <w:pPr>
              <w:jc w:val="center"/>
              <w:ind w:left="90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60"/>
        </w:trPr>
        <w:tc>
          <w:tcPr>
            <w:tcW w:w="1960" w:type="dxa"/>
            <w:vAlign w:val="bottom"/>
          </w:tcPr>
          <w:p>
            <w:pPr>
              <w:spacing w:after="0"/>
              <w:rPr>
                <w:sz w:val="20"/>
                <w:szCs w:val="20"/>
                <w:color w:val="auto"/>
              </w:rPr>
            </w:pPr>
            <w:r>
              <w:rPr>
                <w:rFonts w:ascii="Arial" w:cs="Arial" w:eastAsia="Arial" w:hAnsi="Arial"/>
                <w:sz w:val="18"/>
                <w:szCs w:val="18"/>
                <w:b w:val="1"/>
                <w:bCs w:val="1"/>
                <w:color w:val="auto"/>
              </w:rPr>
              <w:t>1300 North 17th Street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Arlington</w:t>
            </w:r>
          </w:p>
        </w:tc>
        <w:tc>
          <w:tcPr>
            <w:tcW w:w="2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3300" w:type="dxa"/>
            <w:vAlign w:val="bottom"/>
          </w:tcPr>
          <w:p>
            <w:pPr>
              <w:ind w:left="160"/>
              <w:spacing w:after="0"/>
              <w:rPr>
                <w:sz w:val="20"/>
                <w:szCs w:val="20"/>
                <w:color w:val="auto"/>
              </w:rPr>
            </w:pPr>
            <w:r>
              <w:rPr>
                <w:rFonts w:ascii="Arial" w:cs="Arial" w:eastAsia="Arial" w:hAnsi="Arial"/>
                <w:sz w:val="18"/>
                <w:szCs w:val="18"/>
                <w:b w:val="1"/>
                <w:bCs w:val="1"/>
                <w:color w:val="auto"/>
              </w:rPr>
              <w:t>Virginia</w:t>
            </w:r>
          </w:p>
        </w:tc>
        <w:tc>
          <w:tcPr>
            <w:tcW w:w="218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24"/>
        </w:trPr>
        <w:tc>
          <w:tcPr>
            <w:tcW w:w="3760" w:type="dxa"/>
            <w:vAlign w:val="bottom"/>
            <w:gridSpan w:val="3"/>
          </w:tcPr>
          <w:p>
            <w:pPr>
              <w:jc w:val="center"/>
              <w:ind w:left="964"/>
              <w:spacing w:after="0"/>
              <w:rPr>
                <w:sz w:val="20"/>
                <w:szCs w:val="20"/>
                <w:color w:val="auto"/>
              </w:rPr>
            </w:pPr>
            <w:r>
              <w:rPr>
                <w:rFonts w:ascii="Arial" w:cs="Arial" w:eastAsia="Arial" w:hAnsi="Arial"/>
                <w:sz w:val="14"/>
                <w:szCs w:val="14"/>
                <w:b w:val="1"/>
                <w:bCs w:val="1"/>
                <w:color w:val="auto"/>
              </w:rPr>
              <w:t>(Address of principal executive offices)</w:t>
            </w:r>
          </w:p>
        </w:tc>
        <w:tc>
          <w:tcPr>
            <w:tcW w:w="2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180" w:type="dxa"/>
            <w:vAlign w:val="bottom"/>
            <w:vMerge w:val="restart"/>
          </w:tcPr>
          <w:p>
            <w:pPr>
              <w:jc w:val="center"/>
              <w:ind w:left="90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104775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right="460"/>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56"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9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0"/>
        </w:trPr>
        <w:tc>
          <w:tcPr>
            <w:tcW w:w="4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Title of each class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4980" w:type="dxa"/>
            <w:vAlign w:val="bottom"/>
          </w:tcPr>
          <w:p>
            <w:pPr>
              <w:jc w:val="center"/>
              <w:ind w:left="219"/>
              <w:spacing w:after="0"/>
              <w:rPr>
                <w:sz w:val="20"/>
                <w:szCs w:val="20"/>
                <w:color w:val="auto"/>
              </w:rPr>
            </w:pPr>
            <w:r>
              <w:rPr>
                <w:rFonts w:ascii="Arial" w:cs="Arial" w:eastAsia="Arial" w:hAnsi="Arial"/>
                <w:sz w:val="16"/>
                <w:szCs w:val="16"/>
                <w:color w:val="auto"/>
              </w:rPr>
              <w:t>Class B Common Stock, par value $1.00 per share</w:t>
            </w:r>
          </w:p>
        </w:tc>
        <w:tc>
          <w:tcPr>
            <w:tcW w:w="210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59"/>
              <w:spacing w:after="0"/>
              <w:rPr>
                <w:sz w:val="20"/>
                <w:szCs w:val="20"/>
                <w:color w:val="auto"/>
              </w:rPr>
            </w:pPr>
            <w:r>
              <w:rPr>
                <w:rFonts w:ascii="Arial" w:cs="Arial" w:eastAsia="Arial" w:hAnsi="Arial"/>
                <w:sz w:val="16"/>
                <w:szCs w:val="16"/>
                <w:color w:val="auto"/>
              </w:rPr>
              <w:t>New York Stock Exchange</w:t>
            </w:r>
          </w:p>
        </w:tc>
      </w:tr>
    </w:tbl>
    <w:p>
      <w:pPr>
        <w:spacing w:after="0" w:line="308" w:lineRule="exact"/>
        <w:rPr>
          <w:sz w:val="24"/>
          <w:szCs w:val="24"/>
          <w:color w:val="auto"/>
        </w:rPr>
      </w:pPr>
    </w:p>
    <w:p>
      <w:pPr>
        <w:ind w:right="140"/>
        <w:spacing w:after="0" w:line="27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85" w:lineRule="exact"/>
        <w:rPr>
          <w:sz w:val="24"/>
          <w:szCs w:val="24"/>
          <w:color w:val="auto"/>
        </w:rPr>
      </w:pPr>
    </w:p>
    <w:p>
      <w:pPr>
        <w:ind w:left="40"/>
        <w:spacing w:after="0" w:line="184" w:lineRule="exact"/>
        <w:tabs>
          <w:tab w:leader="none" w:pos="3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91" w:lineRule="exact"/>
        <w:rPr>
          <w:sz w:val="24"/>
          <w:szCs w:val="24"/>
          <w:color w:val="auto"/>
        </w:rPr>
      </w:pPr>
    </w:p>
    <w:p>
      <w:pPr>
        <w:ind w:right="30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6" w:right="239" w:bottom="854"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October 30, 2019, Graham Holdings Company issued a press release announcing the Company’s earnings for the third quarter ended September 30, 2019. A copy of this press release is furnished with this report as an exhibit to this Form 8-K.</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October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612140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992" w:right="6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43" w:lineRule="exact"/>
        <w:rPr>
          <w:sz w:val="20"/>
          <w:szCs w:val="20"/>
          <w:color w:val="auto"/>
        </w:rPr>
      </w:pPr>
    </w:p>
    <w:p>
      <w:pPr>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October 30, 2019.</w:t>
        </w:r>
      </w:hyperlink>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474980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92"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28575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October 30, 2019</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28575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spacing w:after="0" w:line="1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Chief Financial Officer</w:t>
      </w: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92"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420"/>
          </w:cols>
          <w:pgMar w:left="24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63" w:lineRule="exact"/>
        <w:rPr>
          <w:sz w:val="20"/>
          <w:szCs w:val="20"/>
          <w:color w:val="auto"/>
        </w:rPr>
      </w:pPr>
    </w:p>
    <w:p>
      <w:pPr>
        <w:sectPr>
          <w:pgSz w:w="11900" w:h="16838" w:orient="portrait"/>
          <w:cols w:equalWidth="0" w:num="3">
            <w:col w:w="820" w:space="720"/>
            <w:col w:w="6680" w:space="720"/>
            <w:col w:w="2480"/>
          </w:cols>
          <w:pgMar w:left="240" w:top="574" w:right="2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October 30, 2019</w:t>
      </w:r>
    </w:p>
    <w:p>
      <w:pPr>
        <w:spacing w:after="0" w:line="200" w:lineRule="exact"/>
        <w:rPr>
          <w:sz w:val="20"/>
          <w:szCs w:val="20"/>
          <w:color w:val="auto"/>
        </w:rPr>
      </w:pPr>
    </w:p>
    <w:p>
      <w:pPr>
        <w:sectPr>
          <w:pgSz w:w="11900" w:h="16838" w:orient="portrait"/>
          <w:cols w:equalWidth="0" w:num="2">
            <w:col w:w="8220" w:space="720"/>
            <w:col w:w="2480"/>
          </w:cols>
          <w:pgMar w:left="240" w:top="574" w:right="2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QUARTER EARNINGS</w:t>
      </w:r>
    </w:p>
    <w:p>
      <w:pPr>
        <w:sectPr>
          <w:pgSz w:w="11900" w:h="16838" w:orient="portrait"/>
          <w:cols w:equalWidth="0" w:num="1">
            <w:col w:w="11420"/>
          </w:cols>
          <w:pgMar w:left="240" w:top="574" w:right="239" w:bottom="1440" w:gutter="0" w:footer="0" w:header="0"/>
          <w:type w:val="continuous"/>
        </w:sectPr>
      </w:pPr>
    </w:p>
    <w:p>
      <w:pPr>
        <w:spacing w:after="0" w:line="17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$43.1 million ($8.05 per share) for the third quarter of 2019, compared to $125.1 million ($23.28 per share) for the third quarter of 2018.</w:t>
      </w:r>
    </w:p>
    <w:p>
      <w:pPr>
        <w:spacing w:after="0" w:line="92"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The results for the third quarter of 2019 and 2018 were affected by a number of items as described in the following paragraphs. Excluding these items, net income attributable to common shares was $ 42.5 million ($7.94 per share) for the third quarter of 2019, compared to $70.9 million ($13.19 per share) for the third quarter of 2018. (Refer to the Non-GAAP Financial Information schedule at the end of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2019:</w:t>
      </w:r>
    </w:p>
    <w:p>
      <w:pPr>
        <w:spacing w:after="0" w:line="144" w:lineRule="exact"/>
        <w:rPr>
          <w:sz w:val="20"/>
          <w:szCs w:val="20"/>
          <w:color w:val="auto"/>
        </w:rPr>
      </w:pPr>
    </w:p>
    <w:p>
      <w:pPr>
        <w:ind w:left="180" w:right="12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$20.4 million provision recorded at Kaplan International related to a Value Added Tax (VAT) receivable at UK Pathways (after-tax impact of $16.5 million, or $3.09 per share);</w:t>
      </w:r>
    </w:p>
    <w:p>
      <w:pPr>
        <w:spacing w:after="0" w:line="91"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 (after-tax impact of $0.9 million, or $0.16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$17.4 million in net gains on marketable equity securities (after-tax impact of $13.1 million, or $2.44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of $3.7 million from write-ups of cost method investments (after-tax impact of $2.8 million or $0.51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$0.7 million in non-operating foreign currency gains (after-tax impact of $0.5 million, or $0.09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2018:</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million reduction to operating expenses from property, plant and equipment gains in connection with the spectrum repacking mandate of the FCC (after-tax impact of $0.8 million, or $0.14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$45.0 million in net gains on marketable equity securities (after-tax impact of $33.6 million, or $6.26 per share);</w:t>
      </w:r>
    </w:p>
    <w:p>
      <w:pPr>
        <w:spacing w:after="0" w:line="144" w:lineRule="exact"/>
        <w:rPr>
          <w:rFonts w:ascii="Arial" w:cs="Arial" w:eastAsia="Arial" w:hAnsi="Arial"/>
          <w:sz w:val="18"/>
          <w:szCs w:val="18"/>
          <w:color w:val="auto"/>
        </w:rPr>
      </w:pPr>
    </w:p>
    <w:p>
      <w:pPr>
        <w:ind w:left="180" w:right="20" w:hanging="172"/>
        <w:spacing w:after="0" w:line="26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 net, of $10.1 million from sales, write-ups and impairments of cost method and equity method investments, and related to sales of businesses (after-tax impact of $8.0 million, or $1.48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$0.1 million in non-operating foreign currency losses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w:t>
      </w:r>
    </w:p>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Revenue for the third quarter of 2019 was $738.8 million, up 9% from $674.8 million in the third quarter of 2018, largely due to the acquisition of two automotive dealerships in January 2019 and the acquisition of Clyde’s Restaurant Group (CRG) in July 2019. Revenues grew at healthcare and SocialCode, partially offset by declines at the television broadcasting and manufacturing businesses. The Company reported operating income of $16.3 million for the third quarter of 2019, compared to $60.7 million for the third quarter of 2018. The operating income decline is driven by lower earnings in education, television broadcasting, SocialCode and other businesses, partially offset by improvements in manufacturing and healthcare results.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4" w:right="239" w:bottom="1440" w:gutter="0" w:footer="0" w:header="0"/>
          <w:type w:val="continuous"/>
        </w:sectPr>
      </w:pPr>
    </w:p>
    <w:bookmarkStart w:id="5" w:name="page6"/>
    <w:bookmarkEnd w:id="5"/>
    <w:p>
      <w:pPr>
        <w:ind w:right="100"/>
        <w:spacing w:after="0" w:line="231" w:lineRule="auto"/>
        <w:rPr>
          <w:sz w:val="20"/>
          <w:szCs w:val="20"/>
          <w:color w:val="auto"/>
        </w:rPr>
      </w:pPr>
      <w:r>
        <w:rPr>
          <w:rFonts w:ascii="Arial" w:cs="Arial" w:eastAsia="Arial" w:hAnsi="Arial"/>
          <w:sz w:val="18"/>
          <w:szCs w:val="18"/>
          <w:color w:val="auto"/>
        </w:rPr>
        <w:t>For the first nine months of 2019, the Company reported net income attributable to common shares of $182.0 million ($33.96 per share), compared to $214.5 million ($ 39.54 per share) for the first nine months of 2018. The results for the first nine months of 2019 and 2018 were affected by a number of items as described in the following paragraphs. Excluding these items, net income attributable to common shares was $127.4 million ($23.76 per share) for the first nine months of 2019, compared to $179.5 million ($33.09 per share) for the first nine months of 2018. (Refer to the Non-GAAP Financial Information schedule at the end of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nine months of 2019:</w:t>
      </w:r>
    </w:p>
    <w:p>
      <w:pPr>
        <w:spacing w:after="0" w:line="144" w:lineRule="exact"/>
        <w:rPr>
          <w:sz w:val="20"/>
          <w:szCs w:val="20"/>
          <w:color w:val="auto"/>
        </w:rPr>
      </w:pPr>
    </w:p>
    <w:p>
      <w:pPr>
        <w:ind w:left="180" w:right="32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VAT receivable at UK Pathways (after-tax impact of $13.9 million, or $2.59 per share);</w:t>
      </w:r>
    </w:p>
    <w:p>
      <w:pPr>
        <w:spacing w:after="0" w:line="91" w:lineRule="exact"/>
        <w:rPr>
          <w:rFonts w:ascii="Arial" w:cs="Arial" w:eastAsia="Arial" w:hAnsi="Arial"/>
          <w:sz w:val="18"/>
          <w:szCs w:val="18"/>
          <w:color w:val="auto"/>
        </w:rPr>
      </w:pPr>
    </w:p>
    <w:p>
      <w:pPr>
        <w:ind w:left="18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$10.7 million reduction to operating expenses from property, plant and equipment gains in connection with the spectrum repacking mandate of the FCC (after-tax impact of $8.3 million, or $1.55 per share);</w:t>
      </w:r>
    </w:p>
    <w:p>
      <w:pPr>
        <w:spacing w:after="0" w:line="91" w:lineRule="exact"/>
        <w:rPr>
          <w:rFonts w:ascii="Arial" w:cs="Arial" w:eastAsia="Arial" w:hAnsi="Arial"/>
          <w:sz w:val="18"/>
          <w:szCs w:val="18"/>
          <w:color w:val="auto"/>
        </w:rPr>
      </w:pPr>
    </w:p>
    <w:p>
      <w:pPr>
        <w:ind w:left="180" w:right="32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$6.6 million in expenses related to a second quarter non-operating Separation Incentive Program (SIP) at the education division (after-tax impact of $5.1 million, or $0.95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$49.3 million in net gains on marketable equity securities (after-tax impact of $36.9 million, or $6.90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 million in non-operating foreign currency gains (after-tax impact of $1.0 million, or $0.18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nine months of 2018:</w:t>
      </w:r>
    </w:p>
    <w:p>
      <w:pPr>
        <w:spacing w:after="0" w:line="1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$2.1 million reduction to operating expenses from property, plant and equipment gains in connection with the spectrum repacking mandate of the FCC (after-tax impact of $1.6 million, or $0.29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$28.3 million in net losses on marketable equity securities (after-tax impact of $20.9 million, or $3.86 per share);</w:t>
      </w:r>
    </w:p>
    <w:p>
      <w:pPr>
        <w:spacing w:after="0" w:line="144" w:lineRule="exact"/>
        <w:rPr>
          <w:rFonts w:ascii="Arial" w:cs="Arial" w:eastAsia="Arial" w:hAnsi="Arial"/>
          <w:sz w:val="18"/>
          <w:szCs w:val="18"/>
          <w:color w:val="auto"/>
        </w:rPr>
      </w:pPr>
    </w:p>
    <w:p>
      <w:pPr>
        <w:ind w:left="180" w:right="20" w:hanging="172"/>
        <w:spacing w:after="0" w:line="26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net, of $17.0 million from sales, write-ups and impairments of cost method and equity method investments, and related to sales of land and businesses (after-tax impact of $13.4 million, or $2.46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$1.7 million, or $0.31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Revenue for the first nine months of 2019 was $2,168.6 million, up 8% from $2,006.9 million in the first nine months of 2018, largely due to the acquisition of two automotive dealerships in January 2019 and the acquisition of CRG in July 2019. Revenues grew at healthcare and SocialCode, partially offset by declines at the education, television broadcasting and manufacturing businesses. The Company reported operating income of $114.2 million for the first nine months of 2019, compared to $170.6 million for the first nine months of 2018. Operating results declined at the education, television broadcasting, manufacturing, SocialCode and other businesses, partially offset by improvements at healthcare.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6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Education division revenue totaled $357.3 million for the third quarter of 2019, down slightly from $358.6 million for the same period of 2018. Kaplan reported an operating loss of $7.2 million for the third quarter of 2019, compared to operating income of $22.3 million for the third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2019, education division revenue totaled $1,097.5 million, down 1% from revenue of $1,104.1 million for the same period of 2018. Kaplan reported operating income of $44.7 million for the first nine months of 2019, a 46% decline from $82.5 million for the first nine months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2018</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178,169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167,668</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552,505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535,553</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78,712</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89,269</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237,780</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275,080</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64,710</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67,749</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191,533</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195,504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33,820</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34,302</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110,181</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98,715</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2,450</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7,121</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870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(1,584)</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357,319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358,601</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1,097,536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1,104,105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(14,226)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8,375</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35,596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52,966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5,177</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6,042</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9,813</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18,616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4,959</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10,572</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8,794</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17,213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4,939</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6,768</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20,943</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20,863</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(4,067)</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(6,770)</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(18,824)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(21,616)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(3,944)</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(2,682)</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(10,888)</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(693)</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22,262</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44,739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82,516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increased 6% and 3% for the third quarter and first nine months of 2019, respectively. On a constant currency basis, revenue increased 13% and 8% for the third quarter and first nine months of 2019, respectively. The revenue increases were due to growth at UK Pathways, UK Professional and Australia, and from the Heverald acquisition. Kaplan International reported an operating loss of $14.2 million in the third quarter of 2019, compared to operating income of $8.4 million in the third quarter of 2018. Operating income decreased to $35.6 million in the first nine months of 2019, compared to $53.0 million in the first nine months of 2018. The decline in operating results in 2019 is due to the VAT provision recorded at UK Pathways and a decline in Singapore, offset by increases at UK Professional and Australia.</w:t>
      </w:r>
    </w:p>
    <w:p>
      <w:pPr>
        <w:spacing w:after="0" w:line="11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£17.3 million receivable from assessments and subsequent payments through September 30, 2019. Due to recent developments in the case, in the third quarter of 2019, the Company recorded a full provision of £17.3 million ($21.0 million) against this receivable; of this amount, £14.1 million ($17.1 million) relates to years 2014 to 2018. The Company estimates total additional annual VAT expense at the UK Pathways business of approximately $6.0 million related to this matter for 2019. If the Company ultimately prevails in this case, the provision will be reversed and a pre-tax credit will be recorded in the Company’s Consolidated Statement of Operations. The result of the case is expected to be known by the end of 2020.</w:t>
      </w:r>
    </w:p>
    <w:p>
      <w:pPr>
        <w:spacing w:after="0" w:line="10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In the third quarter and first nine months of 2019, Higher Education revenue was down 12% and 14%, respectively, due to the KU Transaction. In the first nine months of 2019, the Company recorded a portion of the service fee with Purdue Global based on an assessment of its collectability under the TOSA. This resulted in a decline in Higher Education results for the first nine months of 2019, as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60"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60" w:right="239" w:bottom="1440" w:gutter="0" w:footer="0" w:header="0"/>
          <w:type w:val="continuous"/>
        </w:sectPr>
      </w:pPr>
    </w:p>
    <w:bookmarkStart w:id="7" w:name="page8"/>
    <w:bookmarkEnd w:id="7"/>
    <w:p>
      <w:pPr>
        <w:ind w:right="60"/>
        <w:spacing w:after="0" w:line="229" w:lineRule="auto"/>
        <w:rPr>
          <w:sz w:val="20"/>
          <w:szCs w:val="20"/>
          <w:color w:val="auto"/>
        </w:rPr>
      </w:pPr>
      <w:r>
        <w:rPr>
          <w:rFonts w:ascii="Arial" w:cs="Arial" w:eastAsia="Arial" w:hAnsi="Arial"/>
          <w:sz w:val="18"/>
          <w:szCs w:val="18"/>
          <w:color w:val="auto"/>
        </w:rPr>
        <w:t>Company recorded the full service fee for Purdue Global for the first six months of 2018, and a portion of the service fee for the third quarter of 2018. Following the transition from KU, Purdue Global launched a planned marketing campaign to fully establish its new brand. This significant marketing spend, which the Company supports, impacts the cash generated by Purdue Global and its current ability to fully pay the KHE service fee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1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decreased 4% and 2% for the third quarter and first nine months of 2019, respectively. Excluding revenue from the Barron’s acquisition, revenues were down 11% and 9%, respectively, due to declines in KTP’s retail comprehensive test preparation programs. KTP operating results declined 53% and 49% in the third quarter and first nine months of 2019, respectively, due primarily to revenue declines for retail comprehensive test preparation programs. Operating losses for the new economy skills training programs were $3.2 million and $2.8 million for each of the first nine months of 2019 and 2018, respectively.</w:t>
      </w:r>
    </w:p>
    <w:p>
      <w:pPr>
        <w:spacing w:after="0" w:line="10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the second quarter of 2019, the Company approved a SIP to reduce the number of employees at KTP and Higher Education. In connection with the SIP, the Company recorded $6.6 million in non-operating pension expense in the second quarter of 2019.</w:t>
      </w:r>
    </w:p>
    <w:p>
      <w:pPr>
        <w:spacing w:after="0" w:line="9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third quarter of 2019 declined 1% due to declines in CFA, real estate and accountancy programs. In the first nine months of 2019, Kaplan Professional (U.S.) revenue increased 12%, due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in the third quarter of 2019, primarily due to lower demand for real estate and accountancy programs and increased spending for sales and marketing. Kaplan Professional (U.S) operating results were flat for the first nine months of 2019, due to increased earnings at PPI and CFFP, offset by increased sales and marketing expenses.</w:t>
      </w:r>
    </w:p>
    <w:p>
      <w:pPr>
        <w:spacing w:after="0" w:line="110"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2019 due to lower incentive compensation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Revenue at the television broadcasting division declined 11% to $115.2 million in the third quarter of 2019, from $130.0 million in the same period of 2018. The revenue decrease is due to a $19.9 million decrease in political advertising revenue, slightly offset by a $3.1 million increase in retransmission revenues. In the third quarter of 2019 and 2018, the television broadcasting division recorded $1.1 million and $1.0 million, respectively, in reductions to operating expenses related to property, plant and equipment gains due to new equipment received at no cost in connection with the spectrum repacking mandate of the FCC. Operating income for the third quarter of 2019 decreased 34% to $36.8 million, from $55.5 million in the same period of 2018, due to lower revenues and higher network fees.</w:t>
      </w:r>
    </w:p>
    <w:p>
      <w:pPr>
        <w:spacing w:after="0" w:line="11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at the television broadcasting division declined 4% to $340.0 million in the first nine months of 2019, from $352.9 million in the same period of 2018. The revenue decrease is due primarily to a $25.0 million decrease in political advertising revenue, an $8.6 million decrease in 2018 incremental winter Olympics-related advertising revenue at the Company’s NBC stations; partially offset by $17.5 million in higher retransmission revenues. In the first nine months of 2019 and 2018, the television broadcasting division recorded $10.7 million and $2.1 million, respectively, in reductions to operating expenses related to non-cash property, plant and equipment gains due to new equipment received at no cost in connection with the spectrum repacking mandate of the FCC. Operating income for the first nine months of 2019 decreased 15% to $116.8 million from $137.1 million in the same period of 2018, due to lower revenues and higher network fees, partially offset by increased property, plant and equipment gains.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62" w:right="259" w:bottom="1440" w:gutter="0" w:footer="0" w:header="0"/>
        </w:sectPr>
      </w:pPr>
    </w:p>
    <w:bookmarkStart w:id="8" w:name="page9"/>
    <w:bookmarkEnd w:id="8"/>
    <w:p>
      <w:pPr>
        <w:ind w:right="960"/>
        <w:spacing w:after="0" w:line="260" w:lineRule="auto"/>
        <w:rPr>
          <w:sz w:val="20"/>
          <w:szCs w:val="20"/>
          <w:color w:val="auto"/>
        </w:rPr>
      </w:pPr>
      <w:r>
        <w:rPr>
          <w:rFonts w:ascii="Arial" w:cs="Arial" w:eastAsia="Arial" w:hAnsi="Arial"/>
          <w:sz w:val="18"/>
          <w:szCs w:val="18"/>
          <w:color w:val="auto"/>
        </w:rPr>
        <w:t>combustion processes in electric utility and industrial applications. In July 2018, Dekko acquired Furnlite, Inc., a Fallston, NC-based manufacturer of power and data solutions for the hospitality and residential furniture industry.</w:t>
      </w:r>
    </w:p>
    <w:p>
      <w:pPr>
        <w:spacing w:after="0" w:line="9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Manufacturing revenues declined 11% and 8% in the third quarter and first nine months of 2019, respectively, due primarily to a decline at Hoover from lower wood prices, partially offset by increases due to the Furnlite acquisition. Manufacturing operating income increased in the third quarter of 2019, due partly to improved results at Hoover from losses on inventory sales in the third quarter of 2018. Operating income declined in the first nine months of 2019 due largely to increased labor and other operating costs at Hoover.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increased in the first nine months of 2019, largely due to growth in home health and hospice services. The improvement in GHG operating results in 2019 is due to increased revenues and the absence of integration costs and other overall cost reduction in the first nine months of 2019. In the third quarter of 2018, GHG recorded a $7.9 million intangible asset impairment charge related to the Celtic trademark, which was phased-out in the second half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44"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In the third quarter of 2018, SocialCode acquired Marketplace Strategy, a Cleveland-based Amazon sales acceleration agency. SocialCode’s revenue increased 16% and 9% in the third quarter and first nine months of 2019, respectively. SocialCode reported operating losses of $0.4 million and $5.4 million in the third quarter and first nine months of 2019, respectively, compared to operating income of $5.1 million and an operating loss of $0.4 million in the third quarter and first nine months of 2018, respectively. The 2018 results include a $7.5 million and $7.2 million credit related to SocialCode’s phantom equity plans in the third quarter and first nine months of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July 31, 2019, the Company acquired CRG. CRG owns and operates thirteen restaurants and entertainment venues in the Washington, DC metropolitan area, including Old Ebbitt Grill and The Hamilton, two of the top twenty highest grossing independent restaurants in the United States. CRG is managed by its existing management team as a wholly-owned subsidiary of the Company.</w:t>
      </w:r>
    </w:p>
    <w:p>
      <w:pPr>
        <w:spacing w:after="0" w:line="10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operate and manage the dealerships. Graham Holdings Company holds a 90% stake.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other businesses increased due mostly to the automotive dealership and CRG acquisitions.</w:t>
      </w:r>
    </w:p>
    <w:p>
      <w:pPr>
        <w:spacing w:after="0" w:line="14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 Slate and CyberVista reported revenue increases in the first nine months of 2019. Losses from each of these five businesses in the first nine months of 2019 adversely affected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6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At September 30, 2019, the Company held an approximate 11%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$4.7 million for the third quarter of 2019, compared to $9.5 million for the third quarter of 2018. The Company recorded equity in earnings of affiliates of $7.8 million for the first nine months of 2019, compared to $13.0 million for the first nine months of 2018. In the third quarter of 2018, the Company recorded $7.9 million in gains in equity in earnings of affiliates related to two of its investments.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6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w:t>
      </w:r>
    </w:p>
    <w:p>
      <w:pPr>
        <w:spacing w:after="0" w:line="10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incurred net interest expense of $5.3 million and $17.8 million for the third quarter and first nine months of 2019, respectively, compared to $5.5 million and $27.5 million for the third quarter and first nine months of 2018, respectively. The Company incurred $6.2 million in interest expense related to the mandatorily redeemable noncontrolling interest at the Graham Healthcare Group settled in the second quarter of 2018. The higher interest expense in 2018 is also due to both the $400 million eight-year and ten-year notes outstanding for the month of June 2018.</w:t>
      </w:r>
    </w:p>
    <w:p>
      <w:pPr>
        <w:spacing w:after="0" w:line="11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At September 30, 2019, the Company had $502.2 million in borrowings outstanding at an average interest rate of 5.1% and cash, marketable equity securities and other investments of $711.6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net non-operating pension and postretirement benefit income of $ 19.6 million and $51.7 million for the third quarter and first nine months of 2019, respectively, compared to $22.2 million and $66.6 million for the third quarter and first nine months of 2018, respectively.</w:t>
      </w:r>
    </w:p>
    <w:p>
      <w:pPr>
        <w:spacing w:after="0" w:line="108" w:lineRule="exact"/>
        <w:rPr>
          <w:sz w:val="20"/>
          <w:szCs w:val="20"/>
          <w:color w:val="auto"/>
        </w:rPr>
      </w:pPr>
    </w:p>
    <w:p>
      <w:pPr>
        <w:ind w:right="680"/>
        <w:spacing w:after="0" w:line="407" w:lineRule="auto"/>
        <w:rPr>
          <w:sz w:val="20"/>
          <w:szCs w:val="20"/>
          <w:color w:val="auto"/>
        </w:rPr>
      </w:pPr>
      <w:r>
        <w:rPr>
          <w:rFonts w:ascii="Arial" w:cs="Arial" w:eastAsia="Arial" w:hAnsi="Arial"/>
          <w:sz w:val="18"/>
          <w:szCs w:val="18"/>
          <w:color w:val="auto"/>
        </w:rPr>
        <w:t xml:space="preserve">In the second quarter of 2019, the Company recorded $6.6 million in expenses related to a non-operating SIP at the education division. </w:t>
      </w:r>
      <w:r>
        <w:rPr>
          <w:rFonts w:ascii="Arial" w:cs="Arial" w:eastAsia="Arial" w:hAnsi="Arial"/>
          <w:sz w:val="18"/>
          <w:szCs w:val="18"/>
          <w:b w:val="1"/>
          <w:bCs w:val="1"/>
          <w:u w:val="single" w:color="auto"/>
          <w:color w:val="auto"/>
        </w:rPr>
        <w:t>Gain on Marketable Equity Securities, net</w:t>
      </w:r>
    </w:p>
    <w:p>
      <w:pPr>
        <w:jc w:val="both"/>
        <w:ind w:right="180"/>
        <w:spacing w:after="0"/>
        <w:rPr>
          <w:sz w:val="20"/>
          <w:szCs w:val="20"/>
          <w:color w:val="auto"/>
        </w:rPr>
      </w:pPr>
      <w:r>
        <w:rPr>
          <w:rFonts w:ascii="Arial" w:cs="Arial" w:eastAsia="Arial" w:hAnsi="Arial"/>
          <w:sz w:val="18"/>
          <w:szCs w:val="18"/>
          <w:color w:val="auto"/>
        </w:rPr>
        <w:t>Overall, the Company recognized $17.4 million and $49.3 million in net gains on marketable equity securities in the third quarter and first nine months of 2019, respectively, compared to $45.0 million and $28.3 million in net gains on marketable equity securities in the third quarter and first nine months of 2018,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6"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Company recorded total other non-operating income, net, of $5.6 million for the third quarter of 2019, compared to $3.1 million for the third quarter of 2018. The 2019 amounts included $3.7 million in fair value increases on cost method investments; $0.7 million in foreign currency gains; and other items. The 2018 amounts included $8.5 million in fair value increases on cost method investments and other items, partially offset by a $3.3 million net loss related to sales of businesses and contingent consideration; a $2.5 million impairment of a cost method investment; and $0.1 million in foreign currency losses.</w:t>
      </w:r>
    </w:p>
    <w:p>
      <w:pPr>
        <w:spacing w:after="0" w:line="11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Company recorded total other non-operating income, net, of $ 36.1 million for the first nine months of 2019 compared to $ 14.7 million for the first nine months of 2018. The 2019 amounts included a $29.0 million gain on the sale of the Company’s interest in Gimlet Media; $5.1 million in fair value increases on cost method investments; $1.3 million in foreign currency gains and other items. The 2018 amounts include $8.5 million in fair value increases on cost method investments; $4.0 million net gain related to sales of businesses and contingent consideration; a $2.8 million gain on sale of a cost method investment; a $2.5 million gain on sale of land; and other items, partially offset by a $2.5 million impairment of a cost method investment and $2.2 million in foreign currency losses.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Company’s effective tax rate for the first nine months of 2019 was 24.7%. In the first quarter of 2019, the Company recorded income tax benefits related to stock compensation of $1.7 million.</w:t>
      </w:r>
    </w:p>
    <w:p>
      <w:pPr>
        <w:spacing w:after="0" w:line="9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Company’s effective tax rate for the first nine months of 2018 was 15.6%. In the third quarter of 2018, the Company recorded a $17.8 million deferred state tax benefit related to the release of valuation allowances. Excluding this $17.8 million benefit and a $1.8 million income tax benefit related to stock compensation recorded in the first quarter of 2018, the overall income tax rate for the first nine months of 2018 was 23.3%.</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calculation of diluted earnings per share for the third quarter and first nine months of 2019 was based on 5,328,855 and 5,327,865 weighted average shares outstanding, compared to 5,336,612 and 5,390,049 for the third quarter and first nine months of 2018. At September 30, 2019, there were 5,314,386 shares outstanding. On November 9, 2017, the Board of Directors authorized the Company to acquire up to 500,000 shares of its Class B common stock; the Company has remaining authorization for 273,655 shares as of September 30,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560"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7"/>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738,820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674,766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693,257</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580,001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15,351</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13,648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13,572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12,269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8,109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16,268</w:t>
            </w:r>
          </w:p>
        </w:tc>
        <w:tc>
          <w:tcPr>
            <w:tcW w:w="3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60,739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4,683</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9,537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1,474</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(6,776)</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19,556</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22,214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17,404</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44,962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4"/>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5,556</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58,165</w:t>
            </w:r>
          </w:p>
        </w:tc>
        <w:tc>
          <w:tcPr>
            <w:tcW w:w="3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135,070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15,200</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42,965</w:t>
            </w:r>
          </w:p>
        </w:tc>
        <w:tc>
          <w:tcPr>
            <w:tcW w:w="3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125,070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180</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43,145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125,064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23.43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5,302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8.05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23.28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5,329</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5,337</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738" w:right="259" w:bottom="1440" w:gutter="0" w:footer="0" w:header="0"/>
        </w:sectPr>
      </w:pPr>
    </w:p>
    <w:bookmarkStart w:id="12" w:name="page13"/>
    <w:bookmarkEnd w:id="12"/>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2,168,621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2,006,879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1,971,052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1,752,230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42,758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41,909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39,512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34,052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1,065</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114,234</w:t>
            </w: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170,579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7,829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13,047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4,753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3,884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(22,587)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(31,371)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51,737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66,641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49,261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28,306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74"/>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36,135</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14,662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241,362</w:t>
            </w: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254,370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59,500</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181,862</w:t>
            </w: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214,670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181,974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214,521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39.81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5,354</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33.96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39.54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5,328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5,390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38" w:right="259" w:bottom="1440" w:gutter="0" w:footer="0" w:header="0"/>
        </w:sectPr>
      </w:pPr>
    </w:p>
    <w:bookmarkStart w:id="13" w:name="page14"/>
    <w:bookmarkEnd w:id="13"/>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71"/>
        </w:trPr>
        <w:tc>
          <w:tcPr>
            <w:tcW w:w="49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357,319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358,601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1,097,536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1,104,105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115,161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130,014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340,012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352,902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111,676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126,028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341,706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369,896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40,688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35,486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119,057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111,315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15,975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13,781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45,804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41,850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98,225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10,856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224,814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26,856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738,820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674,766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2,168,621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2,006,879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364,480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336,339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1,052,797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1,021,589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78,348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74,561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223,165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215,789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104,831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120,882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326,895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347,457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39,480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44,188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112,922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120,644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16,353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8,657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51,175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42,249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107,254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16,513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248,249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49,032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12,030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12,887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39,492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39,585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722,552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614,027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2,054,387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1,836,300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(7,161)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22,262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44,739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82,516</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36,813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55,453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116,847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137,113</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6,845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5,146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14,811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22,439</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1,208</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(8,702)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6,135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(378)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5,124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(5,371)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(9,029)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(5,657)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(23,435)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(22,176)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(12,030)</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(39,492)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16,268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60,739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114,234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170,579</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6,258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18,596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21,130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3,307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3,198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9,243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2,671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2,333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7,488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7,115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566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1,948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1,974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3,459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219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15,351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13,648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42,758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41,909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182"/>
        </w:trPr>
        <w:tc>
          <w:tcPr>
            <w:tcW w:w="492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Amortization of Intangible Assets and Impairment of Long-</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3,944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2,682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11,581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1,408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4,224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6,522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6,345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19,580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18,216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1,914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9,839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4,722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13,456</w:t>
            </w: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13,944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20,378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40,577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42,161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2,603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2,107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762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2,273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bl>
    <w:p>
      <w:pPr>
        <w:sectPr>
          <w:pgSz w:w="11900" w:h="16863" w:orient="portrait"/>
          <w:cols w:equalWidth="0" w:num="1">
            <w:col w:w="11420"/>
          </w:cols>
          <w:pgMar w:left="240" w:top="738"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219</w:t>
            </w:r>
          </w:p>
        </w:tc>
        <w:tc>
          <w:tcPr>
            <w:tcW w:w="4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658</w:t>
            </w:r>
          </w:p>
        </w:tc>
        <w:tc>
          <w:tcPr>
            <w:tcW w:w="4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7"/>
        </w:trPr>
        <w:tc>
          <w:tcPr>
            <w:tcW w:w="508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215</w:t>
            </w:r>
          </w:p>
        </w:tc>
        <w:tc>
          <w:tcPr>
            <w:tcW w:w="44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577</w:t>
            </w:r>
          </w:p>
        </w:tc>
        <w:tc>
          <w:tcPr>
            <w:tcW w:w="4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4"/>
        </w:trPr>
        <w:tc>
          <w:tcPr>
            <w:tcW w:w="4740" w:type="dxa"/>
            <w:vAlign w:val="bottom"/>
          </w:tcPr>
          <w:p>
            <w:pPr>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1,200</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3,600</w:t>
            </w: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64"/>
        </w:trPr>
        <w:tc>
          <w:tcPr>
            <w:tcW w:w="474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5,142</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15,326</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13,730</w:t>
            </w: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420" w:top="119"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71"/>
        </w:trPr>
        <w:tc>
          <w:tcPr>
            <w:tcW w:w="49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178,169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167,668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552,505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535,553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78,712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89,269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237,780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275,080</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64,710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67,749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191,533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195,504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33,820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34,302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110,181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98,715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2,450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7,121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(542)</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(1,584)</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357,319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358,601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1,097,536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1,104,105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192,395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159,293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516,909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482,587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73,535</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83,227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227,967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256,464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59,751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57,177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182,739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178,291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28,881</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27,534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89,238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77,852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6,517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6,913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25,945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22,486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3,944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2,682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10,888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(543)</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364,480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336,339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1,052,797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1,021,589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(14,226)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8,375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35,596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52,966</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5,177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6,042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18,616</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4,959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8,794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17,213</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4,939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6,768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20,943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20,863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(4,067)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(6,770)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(18,824)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(3,944)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(10,888)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(5,494)</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(7,161)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22,262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44,739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82,516</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3,600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3,759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11,198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11,497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840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915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2,066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4,047</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774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2,358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2,984</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978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66</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6,258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18,596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21,130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1,136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847</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2,534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2,035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340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166</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496</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2,603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38"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NON-GAAP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Income before</w:t>
            </w:r>
          </w:p>
        </w:tc>
        <w:tc>
          <w:tcPr>
            <w:tcW w:w="200" w:type="dxa"/>
            <w:vAlign w:val="bottom"/>
          </w:tcPr>
          <w:p>
            <w:pPr>
              <w:spacing w:after="0"/>
              <w:rPr>
                <w:sz w:val="16"/>
                <w:szCs w:val="16"/>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color w:val="auto"/>
                <w:w w:val="99"/>
              </w:rPr>
              <w:t>Income</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6"/>
                <w:szCs w:val="16"/>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color w:val="auto"/>
              </w:rPr>
              <w:t>before</w:t>
            </w:r>
          </w:p>
        </w:tc>
        <w:tc>
          <w:tcPr>
            <w:tcW w:w="3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Arial" w:cs="Arial" w:eastAsia="Arial" w:hAnsi="Arial"/>
                <w:sz w:val="16"/>
                <w:szCs w:val="16"/>
                <w:color w:val="auto"/>
                <w:w w:val="99"/>
              </w:rPr>
              <w:t>Income</w:t>
            </w: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taxes</w:t>
            </w:r>
          </w:p>
        </w:tc>
        <w:tc>
          <w:tcPr>
            <w:tcW w:w="200" w:type="dxa"/>
            <w:vAlign w:val="bottom"/>
          </w:tcPr>
          <w:p>
            <w:pPr>
              <w:spacing w:after="0"/>
              <w:rPr>
                <w:sz w:val="11"/>
                <w:szCs w:val="11"/>
                <w:color w:val="auto"/>
              </w:rPr>
            </w:pPr>
          </w:p>
        </w:tc>
        <w:tc>
          <w:tcPr>
            <w:tcW w:w="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center"/>
              <w:ind w:right="119"/>
              <w:spacing w:after="0"/>
              <w:rPr>
                <w:sz w:val="20"/>
                <w:szCs w:val="20"/>
                <w:color w:val="auto"/>
              </w:rPr>
            </w:pPr>
            <w:r>
              <w:rPr>
                <w:rFonts w:ascii="Arial" w:cs="Arial" w:eastAsia="Arial" w:hAnsi="Arial"/>
                <w:sz w:val="16"/>
                <w:szCs w:val="16"/>
                <w:color w:val="auto"/>
              </w:rPr>
              <w:t>income</w:t>
            </w:r>
          </w:p>
        </w:tc>
        <w:tc>
          <w:tcPr>
            <w:tcW w:w="30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6"/>
                <w:szCs w:val="16"/>
                <w:color w:val="auto"/>
              </w:rPr>
              <w:t>Taxes</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48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taxes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58,165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15,200</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42,965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135,070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10,000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125,070</w:t>
            </w:r>
          </w:p>
        </w:tc>
        <w:tc>
          <w:tcPr>
            <w:tcW w:w="0" w:type="dxa"/>
            <w:vAlign w:val="bottom"/>
          </w:tcPr>
          <w:p>
            <w:pPr>
              <w:spacing w:after="0"/>
              <w:rPr>
                <w:sz w:val="1"/>
                <w:szCs w:val="1"/>
                <w:color w:val="auto"/>
              </w:rPr>
            </w:pPr>
          </w:p>
        </w:tc>
      </w:tr>
      <w:tr>
        <w:trPr>
          <w:trHeight w:val="274"/>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180</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6"/>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43,145</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125,064</w:t>
            </w:r>
          </w:p>
        </w:tc>
        <w:tc>
          <w:tcPr>
            <w:tcW w:w="0" w:type="dxa"/>
            <w:vAlign w:val="bottom"/>
          </w:tcPr>
          <w:p>
            <w:pPr>
              <w:spacing w:after="0"/>
              <w:rPr>
                <w:sz w:val="1"/>
                <w:szCs w:val="1"/>
                <w:color w:val="auto"/>
              </w:rPr>
            </w:pPr>
          </w:p>
        </w:tc>
      </w:tr>
      <w:tr>
        <w:trPr>
          <w:trHeight w:val="262"/>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00" w:type="dxa"/>
            <w:vAlign w:val="bottom"/>
          </w:tcPr>
          <w:p>
            <w:pPr>
              <w:ind w:left="280"/>
              <w:spacing w:after="0"/>
              <w:rPr>
                <w:sz w:val="20"/>
                <w:szCs w:val="20"/>
                <w:color w:val="auto"/>
              </w:rPr>
            </w:pPr>
            <w:r>
              <w:rPr>
                <w:rFonts w:ascii="Arial" w:cs="Arial" w:eastAsia="Arial" w:hAnsi="Arial"/>
                <w:sz w:val="16"/>
                <w:szCs w:val="16"/>
                <w:color w:val="auto"/>
              </w:rPr>
              <w:t>Provision related to a VAT receivable</w:t>
            </w:r>
          </w:p>
        </w:tc>
        <w:tc>
          <w:tcPr>
            <w:tcW w:w="32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20,412</w:t>
            </w:r>
          </w:p>
        </w:tc>
        <w:tc>
          <w:tcPr>
            <w:tcW w:w="200" w:type="dxa"/>
            <w:vAlign w:val="bottom"/>
          </w:tcPr>
          <w:p>
            <w:pPr>
              <w:spacing w:after="0"/>
              <w:rPr>
                <w:sz w:val="24"/>
                <w:szCs w:val="24"/>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3,878</w:t>
            </w: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16,534</w:t>
            </w:r>
          </w:p>
        </w:tc>
        <w:tc>
          <w:tcPr>
            <w:tcW w:w="26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32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7,909</w:t>
            </w:r>
          </w:p>
        </w:tc>
        <w:tc>
          <w:tcPr>
            <w:tcW w:w="3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2,099</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5,810</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20" w:type="dxa"/>
            <w:vAlign w:val="bottom"/>
          </w:tcPr>
          <w:p>
            <w:pPr>
              <w:spacing w:after="0"/>
              <w:rPr>
                <w:sz w:val="17"/>
                <w:szCs w:val="17"/>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(1,129)</w:t>
            </w:r>
          </w:p>
        </w:tc>
        <w:tc>
          <w:tcPr>
            <w:tcW w:w="200" w:type="dxa"/>
            <w:vAlign w:val="bottom"/>
          </w:tcPr>
          <w:p>
            <w:pPr>
              <w:spacing w:after="0"/>
              <w:rPr>
                <w:sz w:val="17"/>
                <w:szCs w:val="17"/>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(260)</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30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(17,404)</w:t>
            </w:r>
          </w:p>
        </w:tc>
        <w:tc>
          <w:tcPr>
            <w:tcW w:w="20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(4,351)</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(13,053)</w:t>
            </w:r>
          </w:p>
        </w:tc>
        <w:tc>
          <w:tcPr>
            <w:tcW w:w="2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(44,962)</w:t>
            </w:r>
          </w:p>
        </w:tc>
        <w:tc>
          <w:tcPr>
            <w:tcW w:w="30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(11,357)</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(33,605)</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320" w:type="dxa"/>
            <w:vAlign w:val="bottom"/>
          </w:tcPr>
          <w:p>
            <w:pPr>
              <w:spacing w:after="0"/>
              <w:rPr>
                <w:sz w:val="17"/>
                <w:szCs w:val="17"/>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(3,669)</w:t>
            </w:r>
          </w:p>
        </w:tc>
        <w:tc>
          <w:tcPr>
            <w:tcW w:w="200" w:type="dxa"/>
            <w:vAlign w:val="bottom"/>
          </w:tcPr>
          <w:p>
            <w:pPr>
              <w:spacing w:after="0"/>
              <w:rPr>
                <w:sz w:val="17"/>
                <w:szCs w:val="17"/>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(917)</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(2,752)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investments and related to sales of businesses</w:t>
            </w: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(10,091)</w:t>
            </w:r>
          </w:p>
        </w:tc>
        <w:tc>
          <w:tcPr>
            <w:tcW w:w="30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(2,138)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(661)</w:t>
            </w:r>
          </w:p>
        </w:tc>
        <w:tc>
          <w:tcPr>
            <w:tcW w:w="20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(165)</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5"/>
        </w:trPr>
        <w:tc>
          <w:tcPr>
            <w:tcW w:w="4800" w:type="dxa"/>
            <w:vAlign w:val="bottom"/>
          </w:tcPr>
          <w:p>
            <w:pPr>
              <w:ind w:left="280"/>
              <w:spacing w:after="0"/>
              <w:rPr>
                <w:sz w:val="20"/>
                <w:szCs w:val="20"/>
                <w:color w:val="auto"/>
              </w:rPr>
            </w:pPr>
            <w:r>
              <w:rPr>
                <w:rFonts w:ascii="Arial" w:cs="Arial" w:eastAsia="Arial" w:hAnsi="Arial"/>
                <w:sz w:val="16"/>
                <w:szCs w:val="16"/>
                <w:color w:val="auto"/>
              </w:rPr>
              <w:t>Nonrecurring deferred state tax benefit related to release of</w:t>
            </w:r>
          </w:p>
        </w:tc>
        <w:tc>
          <w:tcPr>
            <w:tcW w:w="320" w:type="dxa"/>
            <w:vAlign w:val="bottom"/>
          </w:tcPr>
          <w:p>
            <w:pPr>
              <w:spacing w:after="0"/>
              <w:rPr>
                <w:sz w:val="17"/>
                <w:szCs w:val="17"/>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40"/>
              <w:spacing w:after="0"/>
              <w:rPr>
                <w:sz w:val="20"/>
                <w:szCs w:val="20"/>
                <w:color w:val="auto"/>
              </w:rPr>
            </w:pPr>
            <w:r>
              <w:rPr>
                <w:rFonts w:ascii="Arial" w:cs="Arial" w:eastAsia="Arial" w:hAnsi="Arial"/>
                <w:sz w:val="16"/>
                <w:szCs w:val="16"/>
                <w:color w:val="auto"/>
              </w:rPr>
              <w:t>valuation allowances</w:t>
            </w:r>
          </w:p>
        </w:tc>
        <w:tc>
          <w:tcPr>
            <w:tcW w:w="3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17,783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(17,783)</w:t>
            </w:r>
          </w:p>
        </w:tc>
        <w:tc>
          <w:tcPr>
            <w:tcW w:w="0" w:type="dxa"/>
            <w:vAlign w:val="bottom"/>
          </w:tcPr>
          <w:p>
            <w:pPr>
              <w:spacing w:after="0"/>
              <w:rPr>
                <w:sz w:val="1"/>
                <w:szCs w:val="1"/>
                <w:color w:val="auto"/>
              </w:rPr>
            </w:pPr>
          </w:p>
        </w:tc>
      </w:tr>
      <w:tr>
        <w:trPr>
          <w:trHeight w:val="247"/>
        </w:trPr>
        <w:tc>
          <w:tcPr>
            <w:tcW w:w="48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42,509</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70,851</w:t>
            </w:r>
          </w:p>
        </w:tc>
        <w:tc>
          <w:tcPr>
            <w:tcW w:w="0" w:type="dxa"/>
            <w:vAlign w:val="bottom"/>
          </w:tcPr>
          <w:p>
            <w:pPr>
              <w:spacing w:after="0"/>
              <w:rPr>
                <w:sz w:val="1"/>
                <w:szCs w:val="1"/>
                <w:color w:val="auto"/>
              </w:rPr>
            </w:pPr>
          </w:p>
        </w:tc>
      </w:tr>
      <w:tr>
        <w:trPr>
          <w:trHeight w:val="466"/>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8.05</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241"/>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800" w:type="dxa"/>
            <w:vAlign w:val="bottom"/>
          </w:tcPr>
          <w:p>
            <w:pPr>
              <w:ind w:left="280"/>
              <w:spacing w:after="0"/>
              <w:rPr>
                <w:sz w:val="20"/>
                <w:szCs w:val="20"/>
                <w:color w:val="auto"/>
              </w:rPr>
            </w:pPr>
            <w:r>
              <w:rPr>
                <w:rFonts w:ascii="Arial" w:cs="Arial" w:eastAsia="Arial" w:hAnsi="Arial"/>
                <w:sz w:val="16"/>
                <w:szCs w:val="16"/>
                <w:color w:val="auto"/>
              </w:rPr>
              <w:t>Provision related to a VAT receivable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3.09</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(0.16)</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investments and related to sales of businesses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(0.09)</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Nonrecurring deferred state tax benefit related to release of</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40"/>
              <w:spacing w:after="0"/>
              <w:rPr>
                <w:sz w:val="20"/>
                <w:szCs w:val="20"/>
                <w:color w:val="auto"/>
              </w:rPr>
            </w:pPr>
            <w:r>
              <w:rPr>
                <w:rFonts w:ascii="Arial" w:cs="Arial" w:eastAsia="Arial" w:hAnsi="Arial"/>
                <w:sz w:val="16"/>
                <w:szCs w:val="16"/>
                <w:color w:val="auto"/>
              </w:rPr>
              <w:t>valuation allowances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7.94</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76"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Nine Months Ended September 30</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Income before</w:t>
            </w:r>
          </w:p>
        </w:tc>
        <w:tc>
          <w:tcPr>
            <w:tcW w:w="200" w:type="dxa"/>
            <w:vAlign w:val="bottom"/>
          </w:tcPr>
          <w:p>
            <w:pPr>
              <w:spacing w:after="0"/>
              <w:rPr>
                <w:sz w:val="16"/>
                <w:szCs w:val="16"/>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Income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16"/>
                <w:szCs w:val="16"/>
                <w:color w:val="auto"/>
              </w:rPr>
            </w:pPr>
          </w:p>
        </w:tc>
        <w:tc>
          <w:tcPr>
            <w:tcW w:w="900" w:type="dxa"/>
            <w:vAlign w:val="bottom"/>
          </w:tcPr>
          <w:p>
            <w:pPr>
              <w:jc w:val="center"/>
              <w:ind w:right="138"/>
              <w:spacing w:after="0"/>
              <w:rPr>
                <w:sz w:val="20"/>
                <w:szCs w:val="20"/>
                <w:color w:val="auto"/>
              </w:rPr>
            </w:pPr>
            <w:r>
              <w:rPr>
                <w:rFonts w:ascii="Arial" w:cs="Arial" w:eastAsia="Arial" w:hAnsi="Arial"/>
                <w:sz w:val="16"/>
                <w:szCs w:val="16"/>
                <w:color w:val="auto"/>
                <w:w w:val="99"/>
              </w:rPr>
              <w:t>Income</w:t>
            </w:r>
          </w:p>
        </w:tc>
        <w:tc>
          <w:tcPr>
            <w:tcW w:w="220" w:type="dxa"/>
            <w:vAlign w:val="bottom"/>
          </w:tcPr>
          <w:p>
            <w:pPr>
              <w:spacing w:after="0"/>
              <w:rPr>
                <w:sz w:val="16"/>
                <w:szCs w:val="16"/>
                <w:color w:val="auto"/>
              </w:rPr>
            </w:pPr>
          </w:p>
        </w:tc>
        <w:tc>
          <w:tcPr>
            <w:tcW w:w="860" w:type="dxa"/>
            <w:vAlign w:val="bottom"/>
            <w:vMerge w:val="restart"/>
          </w:tcPr>
          <w:p>
            <w:pPr>
              <w:jc w:val="center"/>
              <w:ind w:right="200"/>
              <w:spacing w:after="0"/>
              <w:rPr>
                <w:sz w:val="20"/>
                <w:szCs w:val="20"/>
                <w:color w:val="auto"/>
              </w:rPr>
            </w:pPr>
            <w:r>
              <w:rPr>
                <w:rFonts w:ascii="Arial" w:cs="Arial" w:eastAsia="Arial" w:hAnsi="Arial"/>
                <w:sz w:val="16"/>
                <w:szCs w:val="16"/>
                <w:color w:val="auto"/>
              </w:rPr>
              <w:t>Income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8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restart"/>
          </w:tcPr>
          <w:p>
            <w:pPr>
              <w:jc w:val="center"/>
              <w:ind w:right="158"/>
              <w:spacing w:after="0"/>
              <w:rPr>
                <w:sz w:val="20"/>
                <w:szCs w:val="20"/>
                <w:color w:val="auto"/>
              </w:rPr>
            </w:pPr>
            <w:r>
              <w:rPr>
                <w:rFonts w:ascii="Arial" w:cs="Arial" w:eastAsia="Arial" w:hAnsi="Arial"/>
                <w:sz w:val="16"/>
                <w:szCs w:val="16"/>
                <w:color w:val="auto"/>
              </w:rPr>
              <w:t>before</w:t>
            </w: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97"/>
        </w:trPr>
        <w:tc>
          <w:tcPr>
            <w:tcW w:w="4800" w:type="dxa"/>
            <w:vAlign w:val="bottom"/>
          </w:tcPr>
          <w:p>
            <w:pPr>
              <w:spacing w:after="0"/>
              <w:rPr>
                <w:sz w:val="8"/>
                <w:szCs w:val="8"/>
                <w:color w:val="auto"/>
              </w:rPr>
            </w:pP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taxes</w:t>
            </w:r>
          </w:p>
        </w:tc>
        <w:tc>
          <w:tcPr>
            <w:tcW w:w="200" w:type="dxa"/>
            <w:vAlign w:val="bottom"/>
          </w:tcPr>
          <w:p>
            <w:pPr>
              <w:spacing w:after="0"/>
              <w:rPr>
                <w:sz w:val="8"/>
                <w:szCs w:val="8"/>
                <w:color w:val="auto"/>
              </w:rPr>
            </w:pPr>
          </w:p>
        </w:tc>
        <w:tc>
          <w:tcPr>
            <w:tcW w:w="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restart"/>
          </w:tcPr>
          <w:p>
            <w:pPr>
              <w:jc w:val="center"/>
              <w:ind w:right="200"/>
              <w:spacing w:after="0"/>
              <w:rPr>
                <w:sz w:val="20"/>
                <w:szCs w:val="20"/>
                <w:color w:val="auto"/>
              </w:rPr>
            </w:pPr>
            <w:r>
              <w:rPr>
                <w:rFonts w:ascii="Arial" w:cs="Arial" w:eastAsia="Arial" w:hAnsi="Arial"/>
                <w:sz w:val="16"/>
                <w:szCs w:val="16"/>
                <w:color w:val="auto"/>
                <w:w w:val="96"/>
              </w:rPr>
              <w:t>Taxes</w:t>
            </w: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80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800" w:type="dxa"/>
            <w:vAlign w:val="bottom"/>
            <w:tcBorders>
              <w:bottom w:val="single" w:sz="8" w:color="auto"/>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241,362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59,500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181,862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254,370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39,700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214,670</w:t>
            </w:r>
          </w:p>
        </w:tc>
        <w:tc>
          <w:tcPr>
            <w:tcW w:w="0" w:type="dxa"/>
            <w:vAlign w:val="bottom"/>
          </w:tcPr>
          <w:p>
            <w:pPr>
              <w:spacing w:after="0"/>
              <w:rPr>
                <w:sz w:val="1"/>
                <w:szCs w:val="1"/>
                <w:color w:val="auto"/>
              </w:rPr>
            </w:pPr>
          </w:p>
        </w:tc>
      </w:tr>
      <w:tr>
        <w:trPr>
          <w:trHeight w:val="274"/>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46"/>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181,974</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214,521</w:t>
            </w:r>
          </w:p>
        </w:tc>
        <w:tc>
          <w:tcPr>
            <w:tcW w:w="0" w:type="dxa"/>
            <w:vAlign w:val="bottom"/>
          </w:tcPr>
          <w:p>
            <w:pPr>
              <w:spacing w:after="0"/>
              <w:rPr>
                <w:sz w:val="1"/>
                <w:szCs w:val="1"/>
                <w:color w:val="auto"/>
              </w:rPr>
            </w:pPr>
          </w:p>
        </w:tc>
      </w:tr>
      <w:tr>
        <w:trPr>
          <w:trHeight w:val="262"/>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00" w:type="dxa"/>
            <w:vAlign w:val="bottom"/>
          </w:tcPr>
          <w:p>
            <w:pPr>
              <w:ind w:left="280"/>
              <w:spacing w:after="0"/>
              <w:rPr>
                <w:sz w:val="20"/>
                <w:szCs w:val="20"/>
                <w:color w:val="auto"/>
              </w:rPr>
            </w:pPr>
            <w:r>
              <w:rPr>
                <w:rFonts w:ascii="Arial" w:cs="Arial" w:eastAsia="Arial" w:hAnsi="Arial"/>
                <w:sz w:val="16"/>
                <w:szCs w:val="16"/>
                <w:color w:val="auto"/>
              </w:rPr>
              <w:t>Provision related to a VAT receivable</w:t>
            </w:r>
          </w:p>
        </w:tc>
        <w:tc>
          <w:tcPr>
            <w:tcW w:w="30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17,132</w:t>
            </w:r>
          </w:p>
        </w:tc>
        <w:tc>
          <w:tcPr>
            <w:tcW w:w="20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3,255</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13,877</w:t>
            </w:r>
          </w:p>
        </w:tc>
        <w:tc>
          <w:tcPr>
            <w:tcW w:w="28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7,909</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2,099</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5,810</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00" w:type="dxa"/>
            <w:vAlign w:val="bottom"/>
          </w:tcPr>
          <w:p>
            <w:pPr>
              <w:spacing w:after="0"/>
              <w:rPr>
                <w:sz w:val="17"/>
                <w:szCs w:val="17"/>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(10,748)</w:t>
            </w:r>
          </w:p>
        </w:tc>
        <w:tc>
          <w:tcPr>
            <w:tcW w:w="200" w:type="dxa"/>
            <w:vAlign w:val="bottom"/>
          </w:tcPr>
          <w:p>
            <w:pPr>
              <w:spacing w:after="0"/>
              <w:rPr>
                <w:sz w:val="17"/>
                <w:szCs w:val="17"/>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(2,472)</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(8,276)</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(2,067)</w:t>
            </w:r>
          </w:p>
        </w:tc>
        <w:tc>
          <w:tcPr>
            <w:tcW w:w="220" w:type="dxa"/>
            <w:vAlign w:val="bottom"/>
          </w:tcPr>
          <w:p>
            <w:pPr>
              <w:spacing w:after="0"/>
              <w:rPr>
                <w:sz w:val="19"/>
                <w:szCs w:val="19"/>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300" w:type="dxa"/>
            <w:vAlign w:val="bottom"/>
          </w:tcPr>
          <w:p>
            <w:pPr>
              <w:spacing w:after="0"/>
              <w:rPr>
                <w:sz w:val="17"/>
                <w:szCs w:val="17"/>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6,169</w:t>
            </w:r>
          </w:p>
        </w:tc>
        <w:tc>
          <w:tcPr>
            <w:tcW w:w="22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6,169</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11,378</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2,731</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Charges related to non-operating SIP at the education division</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6,607</w:t>
            </w:r>
          </w:p>
        </w:tc>
        <w:tc>
          <w:tcPr>
            <w:tcW w:w="20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1,520</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5,087</w:t>
            </w:r>
          </w:p>
        </w:tc>
        <w:tc>
          <w:tcPr>
            <w:tcW w:w="280" w:type="dxa"/>
            <w:vAlign w:val="bottom"/>
          </w:tcPr>
          <w:p>
            <w:pPr>
              <w:spacing w:after="0"/>
              <w:rPr>
                <w:sz w:val="23"/>
                <w:szCs w:val="23"/>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(49,261)</w:t>
            </w:r>
          </w:p>
        </w:tc>
        <w:tc>
          <w:tcPr>
            <w:tcW w:w="20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(12,315)</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(36,946)</w:t>
            </w:r>
          </w:p>
        </w:tc>
        <w:tc>
          <w:tcPr>
            <w:tcW w:w="280" w:type="dxa"/>
            <w:vAlign w:val="bottom"/>
          </w:tcPr>
          <w:p>
            <w:pPr>
              <w:spacing w:after="0"/>
              <w:rPr>
                <w:sz w:val="23"/>
                <w:szCs w:val="23"/>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(28,305)</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(7,359)</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(20,946)</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300" w:type="dxa"/>
            <w:vAlign w:val="bottom"/>
          </w:tcPr>
          <w:p>
            <w:pPr>
              <w:spacing w:after="0"/>
              <w:rPr>
                <w:sz w:val="17"/>
                <w:szCs w:val="17"/>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(5,080)</w:t>
            </w:r>
          </w:p>
        </w:tc>
        <w:tc>
          <w:tcPr>
            <w:tcW w:w="200" w:type="dxa"/>
            <w:vAlign w:val="bottom"/>
          </w:tcPr>
          <w:p>
            <w:pPr>
              <w:spacing w:after="0"/>
              <w:rPr>
                <w:sz w:val="17"/>
                <w:szCs w:val="17"/>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(1,168)</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(3,912)</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investments and related to sales of land and businesses</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(17,038)</w:t>
            </w:r>
          </w:p>
        </w:tc>
        <w:tc>
          <w:tcPr>
            <w:tcW w:w="220" w:type="dxa"/>
            <w:vAlign w:val="bottom"/>
          </w:tcPr>
          <w:p>
            <w:pPr>
              <w:spacing w:after="0"/>
              <w:rPr>
                <w:sz w:val="19"/>
                <w:szCs w:val="19"/>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(3,664)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(13,374)</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sale of Gimlet Media</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(28,994)</w:t>
            </w:r>
          </w:p>
        </w:tc>
        <w:tc>
          <w:tcPr>
            <w:tcW w:w="20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(7,248)</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(21,746)</w:t>
            </w:r>
          </w:p>
        </w:tc>
        <w:tc>
          <w:tcPr>
            <w:tcW w:w="280" w:type="dxa"/>
            <w:vAlign w:val="bottom"/>
          </w:tcPr>
          <w:p>
            <w:pPr>
              <w:spacing w:after="0"/>
              <w:rPr>
                <w:sz w:val="23"/>
                <w:szCs w:val="23"/>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Kaplan University Transaction</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(4,315)</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(2,472)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0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(1,284)</w:t>
            </w:r>
          </w:p>
        </w:tc>
        <w:tc>
          <w:tcPr>
            <w:tcW w:w="20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(321)</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280" w:type="dxa"/>
            <w:vAlign w:val="bottom"/>
          </w:tcPr>
          <w:p>
            <w:pPr>
              <w:spacing w:after="0"/>
              <w:rPr>
                <w:sz w:val="23"/>
                <w:szCs w:val="23"/>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2,205</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529</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Nonrecurring deferred state tax benefit related to the release</w:t>
            </w:r>
          </w:p>
        </w:tc>
        <w:tc>
          <w:tcPr>
            <w:tcW w:w="300" w:type="dxa"/>
            <w:vAlign w:val="bottom"/>
          </w:tcPr>
          <w:p>
            <w:pPr>
              <w:spacing w:after="0"/>
              <w:rPr>
                <w:sz w:val="17"/>
                <w:szCs w:val="17"/>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900" w:type="dxa"/>
            <w:vAlign w:val="bottom"/>
            <w:vMerge w:val="restart"/>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of valuation allowances</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17,783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(17,783)</w:t>
            </w:r>
          </w:p>
        </w:tc>
        <w:tc>
          <w:tcPr>
            <w:tcW w:w="0" w:type="dxa"/>
            <w:vAlign w:val="bottom"/>
          </w:tcPr>
          <w:p>
            <w:pPr>
              <w:spacing w:after="0"/>
              <w:rPr>
                <w:sz w:val="1"/>
                <w:szCs w:val="1"/>
                <w:color w:val="auto"/>
              </w:rPr>
            </w:pPr>
          </w:p>
        </w:tc>
      </w:tr>
      <w:tr>
        <w:trPr>
          <w:trHeight w:val="274"/>
        </w:trPr>
        <w:tc>
          <w:tcPr>
            <w:tcW w:w="48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0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1,700</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(1,700)</w:t>
            </w:r>
          </w:p>
        </w:tc>
        <w:tc>
          <w:tcPr>
            <w:tcW w:w="280" w:type="dxa"/>
            <w:vAlign w:val="bottom"/>
          </w:tcPr>
          <w:p>
            <w:pPr>
              <w:spacing w:after="0"/>
              <w:rPr>
                <w:sz w:val="23"/>
                <w:szCs w:val="23"/>
                <w:color w:val="auto"/>
              </w:rPr>
            </w:pPr>
          </w:p>
        </w:tc>
        <w:tc>
          <w:tcPr>
            <w:tcW w:w="90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1,810</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47"/>
        </w:trPr>
        <w:tc>
          <w:tcPr>
            <w:tcW w:w="48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127,395</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179,475</w:t>
            </w:r>
          </w:p>
        </w:tc>
        <w:tc>
          <w:tcPr>
            <w:tcW w:w="0" w:type="dxa"/>
            <w:vAlign w:val="bottom"/>
          </w:tcPr>
          <w:p>
            <w:pPr>
              <w:spacing w:after="0"/>
              <w:rPr>
                <w:sz w:val="1"/>
                <w:szCs w:val="1"/>
                <w:color w:val="auto"/>
              </w:rPr>
            </w:pPr>
          </w:p>
        </w:tc>
      </w:tr>
      <w:tr>
        <w:trPr>
          <w:trHeight w:val="628"/>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33.96</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41"/>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800" w:type="dxa"/>
            <w:vAlign w:val="bottom"/>
          </w:tcPr>
          <w:p>
            <w:pPr>
              <w:ind w:left="280"/>
              <w:spacing w:after="0"/>
              <w:rPr>
                <w:sz w:val="20"/>
                <w:szCs w:val="20"/>
                <w:color w:val="auto"/>
              </w:rPr>
            </w:pPr>
            <w:r>
              <w:rPr>
                <w:rFonts w:ascii="Arial" w:cs="Arial" w:eastAsia="Arial" w:hAnsi="Arial"/>
                <w:sz w:val="16"/>
                <w:szCs w:val="16"/>
                <w:color w:val="auto"/>
              </w:rPr>
              <w:t>Provision related to a VAT receivable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2.59</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Intangible asset impairment charge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(1.55)</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Charges related to non-operating SIP at the education division</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0.95</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(6.90)</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Non-operating gain, net, from cost and equity method</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(0.73)</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investments and related to sales of land and businesses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sale of Gimlet Media</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Gain on Kaplan University Transaction</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(0.18)</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Nonrecurring deferred state tax benefit related to the release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440"/>
              <w:spacing w:after="0"/>
              <w:rPr>
                <w:sz w:val="20"/>
                <w:szCs w:val="20"/>
                <w:color w:val="auto"/>
              </w:rPr>
            </w:pPr>
            <w:r>
              <w:rPr>
                <w:rFonts w:ascii="Arial" w:cs="Arial" w:eastAsia="Arial" w:hAnsi="Arial"/>
                <w:sz w:val="16"/>
                <w:szCs w:val="16"/>
                <w:color w:val="auto"/>
              </w:rPr>
              <w:t>of valuation allowances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82"/>
        </w:trPr>
        <w:tc>
          <w:tcPr>
            <w:tcW w:w="480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(0.32)</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23.76</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741"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7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2019-12-28T04:08:51Z</dcterms:created>
  <dcterms:modified xsi:type="dcterms:W3CDTF">2019-12-28T04:08:51Z</dcterms:modified>
</cp:coreProperties>
</file>