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269875</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309245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ind w:left="350" w:hanging="350"/>
        <w:spacing w:after="0"/>
        <w:tabs>
          <w:tab w:leader="none" w:pos="350" w:val="left"/>
        </w:tabs>
        <w:numPr>
          <w:ilvl w:val="0"/>
          <w:numId w:val="1"/>
        </w:numPr>
        <w:rPr>
          <w:rFonts w:ascii="Arial" w:cs="Arial" w:eastAsia="Arial" w:hAnsi="Arial"/>
          <w:sz w:val="17"/>
          <w:szCs w:val="17"/>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51"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For the Quarterly Period Ended June 30, 2012</w:t>
      </w:r>
    </w:p>
    <w:p>
      <w:pPr>
        <w:spacing w:after="0" w:line="140"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or</w:t>
      </w:r>
    </w:p>
    <w:p>
      <w:pPr>
        <w:spacing w:after="0" w:line="143" w:lineRule="exact"/>
        <w:rPr>
          <w:sz w:val="24"/>
          <w:szCs w:val="24"/>
          <w:color w:val="auto"/>
        </w:rPr>
      </w:pPr>
    </w:p>
    <w:p>
      <w:pPr>
        <w:ind w:left="390"/>
        <w:spacing w:after="0"/>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1"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109855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0"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7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88900</wp:posOffset>
            </wp:positionV>
            <wp:extent cx="27184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6" w:lineRule="exact"/>
        <w:rPr>
          <w:sz w:val="24"/>
          <w:szCs w:val="24"/>
          <w:color w:val="auto"/>
        </w:rPr>
      </w:pPr>
    </w:p>
    <w:tbl>
      <w:tblPr>
        <w:tblLayout w:type="fixed"/>
        <w:tblInd w:w="1290" w:type="dxa"/>
        <w:tblCellMar>
          <w:top w:w="0" w:type="dxa"/>
          <w:left w:w="0" w:type="dxa"/>
          <w:bottom w:w="0" w:type="dxa"/>
          <w:right w:w="0" w:type="dxa"/>
        </w:tblCellMar>
      </w:tblPr>
      <w:tr>
        <w:trPr>
          <w:trHeight w:val="195"/>
        </w:trPr>
        <w:tc>
          <w:tcPr>
            <w:tcW w:w="6380" w:type="dxa"/>
            <w:vAlign w:val="bottom"/>
          </w:tcPr>
          <w:p>
            <w:pPr>
              <w:jc w:val="center"/>
              <w:ind w:right="3169"/>
              <w:spacing w:after="0"/>
              <w:rPr>
                <w:sz w:val="20"/>
                <w:szCs w:val="20"/>
                <w:color w:val="auto"/>
              </w:rPr>
            </w:pPr>
            <w:r>
              <w:rPr>
                <w:rFonts w:ascii="Arial" w:cs="Arial" w:eastAsia="Arial" w:hAnsi="Arial"/>
                <w:sz w:val="17"/>
                <w:szCs w:val="17"/>
                <w:b w:val="1"/>
                <w:bCs w:val="1"/>
                <w:color w:val="auto"/>
                <w:w w:val="99"/>
              </w:rPr>
              <w:t>Delaware</w:t>
            </w:r>
          </w:p>
        </w:tc>
        <w:tc>
          <w:tcPr>
            <w:tcW w:w="1440" w:type="dxa"/>
            <w:vAlign w:val="bottom"/>
          </w:tcPr>
          <w:p>
            <w:pPr>
              <w:jc w:val="right"/>
              <w:ind w:right="3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6380" w:type="dxa"/>
            <w:vAlign w:val="bottom"/>
          </w:tcPr>
          <w:p>
            <w:pPr>
              <w:jc w:val="center"/>
              <w:ind w:right="3169"/>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1440" w:type="dxa"/>
            <w:vAlign w:val="bottom"/>
          </w:tcPr>
          <w:p>
            <w:pPr>
              <w:jc w:val="center"/>
              <w:ind w:left="31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6380" w:type="dxa"/>
            <w:vAlign w:val="bottom"/>
          </w:tcPr>
          <w:p>
            <w:pPr>
              <w:jc w:val="center"/>
              <w:ind w:right="3169"/>
              <w:spacing w:after="0"/>
              <w:rPr>
                <w:sz w:val="20"/>
                <w:szCs w:val="20"/>
                <w:color w:val="auto"/>
              </w:rPr>
            </w:pPr>
            <w:r>
              <w:rPr>
                <w:rFonts w:ascii="Arial" w:cs="Arial" w:eastAsia="Arial" w:hAnsi="Arial"/>
                <w:sz w:val="12"/>
                <w:szCs w:val="12"/>
                <w:b w:val="1"/>
                <w:bCs w:val="1"/>
                <w:color w:val="auto"/>
              </w:rPr>
              <w:t>incorporation or organization)</w:t>
            </w:r>
          </w:p>
        </w:tc>
        <w:tc>
          <w:tcPr>
            <w:tcW w:w="1440" w:type="dxa"/>
            <w:vAlign w:val="bottom"/>
          </w:tcPr>
          <w:p>
            <w:pPr>
              <w:jc w:val="center"/>
              <w:ind w:left="31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380" w:type="dxa"/>
            <w:vAlign w:val="bottom"/>
          </w:tcPr>
          <w:p>
            <w:pPr>
              <w:jc w:val="center"/>
              <w:ind w:right="3169"/>
              <w:spacing w:after="0"/>
              <w:rPr>
                <w:sz w:val="20"/>
                <w:szCs w:val="20"/>
                <w:color w:val="auto"/>
              </w:rPr>
            </w:pPr>
            <w:r>
              <w:rPr>
                <w:rFonts w:ascii="Arial" w:cs="Arial" w:eastAsia="Arial" w:hAnsi="Arial"/>
                <w:sz w:val="17"/>
                <w:szCs w:val="17"/>
                <w:b w:val="1"/>
                <w:bCs w:val="1"/>
                <w:color w:val="auto"/>
                <w:w w:val="97"/>
              </w:rPr>
              <w:t>1150 15th Street, N.W. Washington, D.C.</w:t>
            </w:r>
          </w:p>
        </w:tc>
        <w:tc>
          <w:tcPr>
            <w:tcW w:w="144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380" w:type="dxa"/>
            <w:vAlign w:val="bottom"/>
          </w:tcPr>
          <w:p>
            <w:pPr>
              <w:jc w:val="center"/>
              <w:ind w:right="3169"/>
              <w:spacing w:after="0"/>
              <w:rPr>
                <w:sz w:val="20"/>
                <w:szCs w:val="20"/>
                <w:color w:val="auto"/>
              </w:rPr>
            </w:pPr>
            <w:r>
              <w:rPr>
                <w:rFonts w:ascii="Arial" w:cs="Arial" w:eastAsia="Arial" w:hAnsi="Arial"/>
                <w:sz w:val="12"/>
                <w:szCs w:val="12"/>
                <w:b w:val="1"/>
                <w:bCs w:val="1"/>
                <w:color w:val="auto"/>
              </w:rPr>
              <w:t>(Address of principal executive offices)</w:t>
            </w:r>
          </w:p>
        </w:tc>
        <w:tc>
          <w:tcPr>
            <w:tcW w:w="1440" w:type="dxa"/>
            <w:vAlign w:val="bottom"/>
          </w:tcPr>
          <w:p>
            <w:pPr>
              <w:jc w:val="center"/>
              <w:ind w:left="31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6380" w:type="dxa"/>
            <w:vAlign w:val="bottom"/>
          </w:tcPr>
          <w:p>
            <w:pPr>
              <w:jc w:val="right"/>
              <w:ind w:right="1309"/>
              <w:spacing w:after="0"/>
              <w:rPr>
                <w:sz w:val="20"/>
                <w:szCs w:val="20"/>
                <w:color w:val="auto"/>
              </w:rPr>
            </w:pPr>
            <w:r>
              <w:rPr>
                <w:rFonts w:ascii="Arial" w:cs="Arial" w:eastAsia="Arial" w:hAnsi="Arial"/>
                <w:sz w:val="17"/>
                <w:szCs w:val="17"/>
                <w:b w:val="1"/>
                <w:bCs w:val="1"/>
                <w:color w:val="auto"/>
              </w:rPr>
              <w:t>(202) 334-6000</w:t>
            </w:r>
          </w:p>
        </w:tc>
        <w:tc>
          <w:tcPr>
            <w:tcW w:w="1440" w:type="dxa"/>
            <w:vAlign w:val="bottom"/>
          </w:tcPr>
          <w:p>
            <w:pPr>
              <w:spacing w:after="0"/>
              <w:rPr>
                <w:sz w:val="24"/>
                <w:szCs w:val="24"/>
                <w:color w:val="auto"/>
              </w:rPr>
            </w:pPr>
          </w:p>
        </w:tc>
      </w:tr>
      <w:tr>
        <w:trPr>
          <w:trHeight w:val="162"/>
        </w:trPr>
        <w:tc>
          <w:tcPr>
            <w:tcW w:w="6380" w:type="dxa"/>
            <w:vAlign w:val="bottom"/>
          </w:tcPr>
          <w:p>
            <w:pPr>
              <w:jc w:val="center"/>
              <w:ind w:left="2409"/>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14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95250</wp:posOffset>
            </wp:positionV>
            <wp:extent cx="2718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16" w:lineRule="exact"/>
        <w:rPr>
          <w:sz w:val="24"/>
          <w:szCs w:val="24"/>
          <w:color w:val="auto"/>
        </w:rPr>
      </w:pPr>
    </w:p>
    <w:p>
      <w:pPr>
        <w:jc w:val="both"/>
        <w:ind w:left="10" w:right="20"/>
        <w:spacing w:after="0" w:line="19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jc w:val="both"/>
        <w:ind w:left="10"/>
        <w:spacing w:after="0" w:line="19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 to be submitted and posted pursuant to Rule 405 of Regulation S-T (§232.405 of this chapter) during the preceding 12 months (or for such shorter per that the registrant was required to submit and post such files). Yes x.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jc w:val="both"/>
        <w:ind w:left="1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 definition of “large accelerated filer,” accelerated filer” and “small reporting company” in Rule 12b-2 of the Exchange Act. (Check one):</w:t>
      </w:r>
    </w:p>
    <w:p>
      <w:pPr>
        <w:spacing w:after="0" w:line="106" w:lineRule="exact"/>
        <w:rPr>
          <w:sz w:val="24"/>
          <w:szCs w:val="24"/>
          <w:color w:val="auto"/>
        </w:rPr>
      </w:pPr>
    </w:p>
    <w:p>
      <w:pPr>
        <w:ind w:left="10"/>
        <w:spacing w:after="0" w:line="196" w:lineRule="exact"/>
        <w:tabs>
          <w:tab w:leader="none" w:pos="2170" w:val="left"/>
          <w:tab w:leader="none" w:pos="3070" w:val="left"/>
          <w:tab w:leader="none" w:pos="4790" w:val="left"/>
          <w:tab w:leader="none" w:pos="5830" w:val="left"/>
          <w:tab w:leader="none" w:pos="7890" w:val="left"/>
          <w:tab w:leader="none" w:pos="857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Smaller Reporting Company</w:t>
      </w:r>
    </w:p>
    <w:p>
      <w:pPr>
        <w:spacing w:after="0" w:line="152" w:lineRule="exact"/>
        <w:rPr>
          <w:sz w:val="24"/>
          <w:szCs w:val="24"/>
          <w:color w:val="auto"/>
        </w:rPr>
      </w:pPr>
    </w:p>
    <w:p>
      <w:pPr>
        <w:ind w:left="10"/>
        <w:spacing w:after="0" w:line="184" w:lineRule="exact"/>
        <w:tabs>
          <w:tab w:leader="none" w:pos="7570" w:val="left"/>
          <w:tab w:leader="none" w:pos="825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5"/>
          <w:szCs w:val="15"/>
          <w:color w:val="auto"/>
        </w:rPr>
        <w:t>.</w:t>
        <w:tab/>
        <w:t xml:space="preserve">No </w:t>
      </w:r>
      <w:r>
        <w:rPr>
          <w:rFonts w:ascii="Arial" w:cs="Arial" w:eastAsia="Arial" w:hAnsi="Arial"/>
          <w:sz w:val="16"/>
          <w:szCs w:val="16"/>
          <w:color w:val="auto"/>
        </w:rPr>
        <w:t>x</w:t>
      </w:r>
      <w:r>
        <w:rPr>
          <w:rFonts w:ascii="Arial" w:cs="Arial" w:eastAsia="Arial" w:hAnsi="Arial"/>
          <w:sz w:val="15"/>
          <w:szCs w:val="15"/>
          <w:color w:val="auto"/>
        </w:rPr>
        <w:t>.</w:t>
      </w:r>
    </w:p>
    <w:p>
      <w:pPr>
        <w:spacing w:after="0" w:line="205" w:lineRule="exact"/>
        <w:rPr>
          <w:sz w:val="24"/>
          <w:szCs w:val="24"/>
          <w:color w:val="auto"/>
        </w:rPr>
      </w:pPr>
    </w:p>
    <w:p>
      <w:pPr>
        <w:ind w:left="10"/>
        <w:spacing w:after="0"/>
        <w:rPr>
          <w:sz w:val="20"/>
          <w:szCs w:val="20"/>
          <w:color w:val="auto"/>
        </w:rPr>
      </w:pPr>
      <w:r>
        <w:rPr>
          <w:rFonts w:ascii="Arial" w:cs="Arial" w:eastAsia="Arial" w:hAnsi="Arial"/>
          <w:sz w:val="17"/>
          <w:szCs w:val="17"/>
          <w:color w:val="auto"/>
        </w:rPr>
        <w:t>Shares outstanding at August 3, 2012:</w:t>
      </w:r>
    </w:p>
    <w:p>
      <w:pPr>
        <w:spacing w:after="0" w:line="81" w:lineRule="exact"/>
        <w:rPr>
          <w:sz w:val="24"/>
          <w:szCs w:val="24"/>
          <w:color w:val="auto"/>
        </w:rPr>
      </w:pPr>
    </w:p>
    <w:p>
      <w:pPr>
        <w:ind w:left="2390"/>
        <w:spacing w:after="0"/>
        <w:rPr>
          <w:sz w:val="20"/>
          <w:szCs w:val="20"/>
          <w:color w:val="auto"/>
        </w:rPr>
      </w:pPr>
      <w:r>
        <w:rPr>
          <w:rFonts w:ascii="Arial" w:cs="Arial" w:eastAsia="Arial" w:hAnsi="Arial"/>
          <w:sz w:val="17"/>
          <w:szCs w:val="17"/>
          <w:color w:val="auto"/>
        </w:rPr>
        <w:t>Class A Common Stock – 1,219,383 Shares</w:t>
      </w:r>
    </w:p>
    <w:p>
      <w:pPr>
        <w:ind w:left="2390"/>
        <w:spacing w:after="0"/>
        <w:rPr>
          <w:sz w:val="20"/>
          <w:szCs w:val="20"/>
          <w:color w:val="auto"/>
        </w:rPr>
      </w:pPr>
      <w:r>
        <w:rPr>
          <w:rFonts w:ascii="Arial" w:cs="Arial" w:eastAsia="Arial" w:hAnsi="Arial"/>
          <w:sz w:val="17"/>
          <w:szCs w:val="17"/>
          <w:color w:val="auto"/>
        </w:rPr>
        <w:t>Class B Common Stock – 6,225,472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9532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417830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577" w:right="139" w:bottom="1440" w:gutter="0" w:footer="0" w:header="0"/>
        </w:sectPr>
      </w:pPr>
    </w:p>
    <w:bookmarkStart w:id="1" w:name="page2"/>
    <w:bookmarkEnd w:id="1"/>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65"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Index to Form 10-Q</w:t>
      </w:r>
    </w:p>
    <w:p>
      <w:pPr>
        <w:spacing w:after="0" w:line="36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PART I. FINANCIAL INFORMATION</w:t>
      </w:r>
    </w:p>
    <w:p>
      <w:pPr>
        <w:spacing w:after="0" w:line="175"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4"/>
          <w:szCs w:val="14"/>
          <w:color w:val="auto"/>
        </w:rPr>
        <w:t>Financial Statements</w:t>
      </w:r>
    </w:p>
    <w:p>
      <w:pPr>
        <w:spacing w:after="0" w:line="175" w:lineRule="exact"/>
        <w:rPr>
          <w:sz w:val="20"/>
          <w:szCs w:val="20"/>
          <w:color w:val="auto"/>
        </w:rPr>
      </w:pPr>
    </w:p>
    <w:p>
      <w:pPr>
        <w:ind w:left="1700" w:right="1340" w:hanging="323"/>
        <w:spacing w:after="0" w:line="250" w:lineRule="auto"/>
        <w:tabs>
          <w:tab w:leader="none" w:pos="171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Operations (Unaudited) for the Three and Six Months Ended June 30, 2012 and July 3, 2011</w:t>
      </w:r>
    </w:p>
    <w:p>
      <w:pPr>
        <w:spacing w:after="0" w:line="323" w:lineRule="exact"/>
        <w:rPr>
          <w:rFonts w:ascii="Arial" w:cs="Arial" w:eastAsia="Arial" w:hAnsi="Arial"/>
          <w:sz w:val="15"/>
          <w:szCs w:val="15"/>
          <w:color w:val="auto"/>
        </w:rPr>
      </w:pPr>
    </w:p>
    <w:p>
      <w:pPr>
        <w:ind w:left="1700" w:right="500" w:hanging="323"/>
        <w:spacing w:after="0" w:line="250" w:lineRule="auto"/>
        <w:tabs>
          <w:tab w:leader="none" w:pos="1714"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Comprehensive Income (Unaudited) for the Three and Six Months Ended June 30, 2012 and July 3, 2011</w:t>
      </w:r>
    </w:p>
    <w:p>
      <w:pPr>
        <w:spacing w:after="0" w:line="323" w:lineRule="exact"/>
        <w:rPr>
          <w:rFonts w:ascii="Arial" w:cs="Arial" w:eastAsia="Arial" w:hAnsi="Arial"/>
          <w:sz w:val="15"/>
          <w:szCs w:val="15"/>
          <w:color w:val="auto"/>
        </w:rPr>
      </w:pPr>
    </w:p>
    <w:p>
      <w:pPr>
        <w:ind w:left="1740" w:hanging="363"/>
        <w:spacing w:after="0"/>
        <w:tabs>
          <w:tab w:leader="none" w:pos="17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Balance Sheets at June 30, 2012 (Unaudited) and December 31, 2011</w:t>
      </w:r>
    </w:p>
    <w:p>
      <w:pPr>
        <w:spacing w:after="0" w:line="336" w:lineRule="exact"/>
        <w:rPr>
          <w:rFonts w:ascii="Arial" w:cs="Arial" w:eastAsia="Arial" w:hAnsi="Arial"/>
          <w:sz w:val="15"/>
          <w:szCs w:val="15"/>
          <w:color w:val="auto"/>
        </w:rPr>
      </w:pPr>
    </w:p>
    <w:p>
      <w:pPr>
        <w:ind w:left="1700" w:hanging="323"/>
        <w:spacing w:after="0"/>
        <w:tabs>
          <w:tab w:leader="none" w:pos="170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Cash Flows (Unaudited) for the Six Months Ended June 30, 2012 and July 3, 2011</w:t>
      </w:r>
    </w:p>
    <w:p>
      <w:pPr>
        <w:spacing w:after="0" w:line="336" w:lineRule="exact"/>
        <w:rPr>
          <w:rFonts w:ascii="Arial" w:cs="Arial" w:eastAsia="Arial" w:hAnsi="Arial"/>
          <w:sz w:val="15"/>
          <w:szCs w:val="15"/>
          <w:color w:val="auto"/>
        </w:rPr>
      </w:pPr>
    </w:p>
    <w:p>
      <w:pPr>
        <w:ind w:left="1700" w:hanging="323"/>
        <w:spacing w:after="0"/>
        <w:tabs>
          <w:tab w:leader="none" w:pos="17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Notes to Condensed Consolidated Financial Statements (Unaudited)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40" w:type="dxa"/>
            <w:vAlign w:val="bottom"/>
          </w:tcPr>
          <w:p>
            <w:pPr>
              <w:ind w:left="580"/>
              <w:spacing w:after="0"/>
              <w:rPr>
                <w:sz w:val="20"/>
                <w:szCs w:val="20"/>
                <w:color w:val="auto"/>
              </w:rPr>
            </w:pPr>
            <w:r>
              <w:rPr>
                <w:rFonts w:ascii="Arial" w:cs="Arial" w:eastAsia="Arial" w:hAnsi="Arial"/>
                <w:sz w:val="15"/>
                <w:szCs w:val="15"/>
                <w:color w:val="auto"/>
              </w:rPr>
              <w:t>Item 2.</w:t>
            </w:r>
          </w:p>
        </w:tc>
        <w:tc>
          <w:tcPr>
            <w:tcW w:w="10120" w:type="dxa"/>
            <w:vAlign w:val="bottom"/>
          </w:tcPr>
          <w:p>
            <w:pPr>
              <w:ind w:left="40"/>
              <w:spacing w:after="0"/>
              <w:rPr>
                <w:sz w:val="20"/>
                <w:szCs w:val="20"/>
                <w:color w:val="auto"/>
              </w:rPr>
            </w:pPr>
            <w:r>
              <w:rPr>
                <w:rFonts w:ascii="Arial" w:cs="Arial" w:eastAsia="Arial" w:hAnsi="Arial"/>
                <w:sz w:val="15"/>
                <w:szCs w:val="15"/>
                <w:color w:val="auto"/>
              </w:rPr>
              <w:t>Management’s Discussion and Analysis of Results of Operations and Financial Condition</w:t>
            </w:r>
          </w:p>
        </w:tc>
      </w:tr>
      <w:tr>
        <w:trPr>
          <w:trHeight w:val="360"/>
        </w:trPr>
        <w:tc>
          <w:tcPr>
            <w:tcW w:w="1340" w:type="dxa"/>
            <w:vAlign w:val="bottom"/>
          </w:tcPr>
          <w:p>
            <w:pPr>
              <w:ind w:left="580"/>
              <w:spacing w:after="0"/>
              <w:rPr>
                <w:sz w:val="20"/>
                <w:szCs w:val="20"/>
                <w:color w:val="auto"/>
              </w:rPr>
            </w:pPr>
            <w:r>
              <w:rPr>
                <w:rFonts w:ascii="Arial" w:cs="Arial" w:eastAsia="Arial" w:hAnsi="Arial"/>
                <w:sz w:val="15"/>
                <w:szCs w:val="15"/>
                <w:color w:val="auto"/>
              </w:rPr>
              <w:t>Item 3.</w:t>
            </w:r>
          </w:p>
        </w:tc>
        <w:tc>
          <w:tcPr>
            <w:tcW w:w="10120" w:type="dxa"/>
            <w:vAlign w:val="bottom"/>
          </w:tcPr>
          <w:p>
            <w:pPr>
              <w:ind w:left="40"/>
              <w:spacing w:after="0"/>
              <w:rPr>
                <w:sz w:val="20"/>
                <w:szCs w:val="20"/>
                <w:color w:val="auto"/>
              </w:rPr>
            </w:pPr>
            <w:r>
              <w:rPr>
                <w:rFonts w:ascii="Arial" w:cs="Arial" w:eastAsia="Arial" w:hAnsi="Arial"/>
                <w:sz w:val="15"/>
                <w:szCs w:val="15"/>
                <w:color w:val="auto"/>
              </w:rPr>
              <w:t>Quantitative and Qualitative Disclosures about Market Risk</w:t>
            </w:r>
          </w:p>
        </w:tc>
      </w:tr>
      <w:tr>
        <w:trPr>
          <w:trHeight w:val="360"/>
        </w:trPr>
        <w:tc>
          <w:tcPr>
            <w:tcW w:w="1340" w:type="dxa"/>
            <w:vAlign w:val="bottom"/>
          </w:tcPr>
          <w:p>
            <w:pPr>
              <w:ind w:left="580"/>
              <w:spacing w:after="0"/>
              <w:rPr>
                <w:sz w:val="20"/>
                <w:szCs w:val="20"/>
                <w:color w:val="auto"/>
              </w:rPr>
            </w:pPr>
            <w:r>
              <w:rPr>
                <w:rFonts w:ascii="Arial" w:cs="Arial" w:eastAsia="Arial" w:hAnsi="Arial"/>
                <w:sz w:val="15"/>
                <w:szCs w:val="15"/>
                <w:color w:val="auto"/>
              </w:rPr>
              <w:t>Item 4.</w:t>
            </w:r>
          </w:p>
        </w:tc>
        <w:tc>
          <w:tcPr>
            <w:tcW w:w="10120" w:type="dxa"/>
            <w:vAlign w:val="bottom"/>
          </w:tcPr>
          <w:p>
            <w:pPr>
              <w:ind w:left="40"/>
              <w:spacing w:after="0"/>
              <w:rPr>
                <w:sz w:val="20"/>
                <w:szCs w:val="20"/>
                <w:color w:val="auto"/>
              </w:rPr>
            </w:pPr>
            <w:r>
              <w:rPr>
                <w:rFonts w:ascii="Arial" w:cs="Arial" w:eastAsia="Arial" w:hAnsi="Arial"/>
                <w:sz w:val="15"/>
                <w:szCs w:val="15"/>
                <w:color w:val="auto"/>
              </w:rPr>
              <w:t>Controls and Procedures</w:t>
            </w:r>
          </w:p>
        </w:tc>
      </w:tr>
      <w:tr>
        <w:trPr>
          <w:trHeight w:val="347"/>
        </w:trPr>
        <w:tc>
          <w:tcPr>
            <w:tcW w:w="11460" w:type="dxa"/>
            <w:vAlign w:val="bottom"/>
            <w:gridSpan w:val="2"/>
          </w:tcPr>
          <w:p>
            <w:pPr>
              <w:ind w:left="580"/>
              <w:spacing w:after="0"/>
              <w:rPr>
                <w:sz w:val="20"/>
                <w:szCs w:val="20"/>
                <w:color w:val="auto"/>
              </w:rPr>
            </w:pPr>
            <w:r>
              <w:rPr>
                <w:rFonts w:ascii="Arial" w:cs="Arial" w:eastAsia="Arial" w:hAnsi="Arial"/>
                <w:sz w:val="15"/>
                <w:szCs w:val="15"/>
                <w:color w:val="auto"/>
              </w:rPr>
              <w:t>PART II. OTHER INFORMATION</w:t>
            </w:r>
          </w:p>
        </w:tc>
      </w:tr>
      <w:tr>
        <w:trPr>
          <w:trHeight w:val="360"/>
        </w:trPr>
        <w:tc>
          <w:tcPr>
            <w:tcW w:w="1340" w:type="dxa"/>
            <w:vAlign w:val="bottom"/>
          </w:tcPr>
          <w:p>
            <w:pPr>
              <w:ind w:left="580"/>
              <w:spacing w:after="0"/>
              <w:rPr>
                <w:sz w:val="20"/>
                <w:szCs w:val="20"/>
                <w:color w:val="auto"/>
              </w:rPr>
            </w:pPr>
            <w:r>
              <w:rPr>
                <w:rFonts w:ascii="Arial" w:cs="Arial" w:eastAsia="Arial" w:hAnsi="Arial"/>
                <w:sz w:val="15"/>
                <w:szCs w:val="15"/>
                <w:color w:val="auto"/>
              </w:rPr>
              <w:t>Item 2.</w:t>
            </w:r>
          </w:p>
        </w:tc>
        <w:tc>
          <w:tcPr>
            <w:tcW w:w="10120" w:type="dxa"/>
            <w:vAlign w:val="bottom"/>
          </w:tcPr>
          <w:p>
            <w:pPr>
              <w:ind w:left="4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360"/>
        </w:trPr>
        <w:tc>
          <w:tcPr>
            <w:tcW w:w="1340" w:type="dxa"/>
            <w:vAlign w:val="bottom"/>
          </w:tcPr>
          <w:p>
            <w:pPr>
              <w:ind w:left="580"/>
              <w:spacing w:after="0"/>
              <w:rPr>
                <w:sz w:val="20"/>
                <w:szCs w:val="20"/>
                <w:color w:val="auto"/>
              </w:rPr>
            </w:pPr>
            <w:r>
              <w:rPr>
                <w:rFonts w:ascii="Arial" w:cs="Arial" w:eastAsia="Arial" w:hAnsi="Arial"/>
                <w:sz w:val="15"/>
                <w:szCs w:val="15"/>
                <w:color w:val="auto"/>
              </w:rPr>
              <w:t>Item 6.</w:t>
            </w:r>
          </w:p>
        </w:tc>
        <w:tc>
          <w:tcPr>
            <w:tcW w:w="10120" w:type="dxa"/>
            <w:vAlign w:val="bottom"/>
          </w:tcPr>
          <w:p>
            <w:pPr>
              <w:ind w:left="40"/>
              <w:spacing w:after="0"/>
              <w:rPr>
                <w:sz w:val="20"/>
                <w:szCs w:val="20"/>
                <w:color w:val="auto"/>
              </w:rPr>
            </w:pPr>
            <w:r>
              <w:rPr>
                <w:rFonts w:ascii="Arial" w:cs="Arial" w:eastAsia="Arial" w:hAnsi="Arial"/>
                <w:sz w:val="15"/>
                <w:szCs w:val="15"/>
                <w:color w:val="auto"/>
              </w:rPr>
              <w:t>Exhibits</w:t>
            </w:r>
          </w:p>
        </w:tc>
      </w:tr>
      <w:tr>
        <w:trPr>
          <w:trHeight w:val="347"/>
        </w:trPr>
        <w:tc>
          <w:tcPr>
            <w:tcW w:w="1340" w:type="dxa"/>
            <w:vAlign w:val="bottom"/>
          </w:tcPr>
          <w:p>
            <w:pPr>
              <w:ind w:left="580"/>
              <w:spacing w:after="0"/>
              <w:rPr>
                <w:sz w:val="20"/>
                <w:szCs w:val="20"/>
                <w:color w:val="auto"/>
              </w:rPr>
            </w:pPr>
            <w:r>
              <w:rPr>
                <w:rFonts w:ascii="Arial" w:cs="Arial" w:eastAsia="Arial" w:hAnsi="Arial"/>
                <w:sz w:val="15"/>
                <w:szCs w:val="15"/>
                <w:color w:val="auto"/>
              </w:rPr>
              <w:t>Signatures</w:t>
            </w:r>
          </w:p>
        </w:tc>
        <w:tc>
          <w:tcPr>
            <w:tcW w:w="10120" w:type="dxa"/>
            <w:vAlign w:val="bottom"/>
          </w:tcPr>
          <w:p>
            <w:pPr>
              <w:spacing w:after="0"/>
              <w:rPr>
                <w:sz w:val="24"/>
                <w:szCs w:val="24"/>
                <w:color w:val="auto"/>
              </w:rPr>
            </w:pPr>
          </w:p>
        </w:tc>
      </w:tr>
      <w:tr>
        <w:trPr>
          <w:trHeight w:val="473"/>
        </w:trPr>
        <w:tc>
          <w:tcPr>
            <w:tcW w:w="134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28" w:right="199" w:bottom="1440" w:gutter="0" w:footer="0" w:header="0"/>
        </w:sectPr>
      </w:pPr>
    </w:p>
    <w:bookmarkStart w:id="2" w:name="page3"/>
    <w:bookmarkEnd w:id="2"/>
    <w:p>
      <w:pPr>
        <w:ind w:left="4340"/>
        <w:spacing w:after="0"/>
        <w:rPr>
          <w:sz w:val="20"/>
          <w:szCs w:val="20"/>
          <w:color w:val="auto"/>
        </w:rPr>
      </w:pPr>
      <w:r>
        <w:rPr>
          <w:rFonts w:ascii="Arial" w:cs="Arial" w:eastAsia="Arial" w:hAnsi="Arial"/>
          <w:sz w:val="17"/>
          <w:szCs w:val="17"/>
          <w:b w:val="1"/>
          <w:bCs w:val="1"/>
          <w:color w:val="auto"/>
        </w:rPr>
        <w:t>PART I. FINANCIAL INFORMATION</w:t>
      </w:r>
    </w:p>
    <w:p>
      <w:pPr>
        <w:spacing w:after="0" w:line="10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842"/>
              <w:spacing w:after="0"/>
              <w:rPr>
                <w:sz w:val="20"/>
                <w:szCs w:val="20"/>
                <w:color w:val="auto"/>
              </w:rPr>
            </w:pPr>
            <w:r>
              <w:rPr>
                <w:rFonts w:ascii="Arial" w:cs="Arial" w:eastAsia="Arial" w:hAnsi="Arial"/>
                <w:sz w:val="12"/>
                <w:szCs w:val="12"/>
                <w:b w:val="1"/>
                <w:bCs w:val="1"/>
                <w:color w:val="auto"/>
              </w:rPr>
              <w:t>Three Months Ended</w:t>
            </w: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jc w:val="right"/>
              <w:ind w:right="483"/>
              <w:spacing w:after="0" w:line="114" w:lineRule="exact"/>
              <w:rPr>
                <w:sz w:val="20"/>
                <w:szCs w:val="20"/>
                <w:color w:val="auto"/>
              </w:rPr>
            </w:pPr>
            <w:r>
              <w:rPr>
                <w:rFonts w:ascii="Arial" w:cs="Arial" w:eastAsia="Arial" w:hAnsi="Arial"/>
                <w:sz w:val="12"/>
                <w:szCs w:val="12"/>
                <w:b w:val="1"/>
                <w:bCs w:val="1"/>
                <w:color w:val="auto"/>
              </w:rPr>
              <w:t>June 30,</w:t>
            </w:r>
          </w:p>
        </w:tc>
        <w:tc>
          <w:tcPr>
            <w:tcW w:w="360" w:type="dxa"/>
            <w:vAlign w:val="bottom"/>
          </w:tcPr>
          <w:p>
            <w:pPr>
              <w:spacing w:after="0"/>
              <w:rPr>
                <w:sz w:val="9"/>
                <w:szCs w:val="9"/>
                <w:color w:val="auto"/>
              </w:rPr>
            </w:pPr>
          </w:p>
        </w:tc>
        <w:tc>
          <w:tcPr>
            <w:tcW w:w="1120" w:type="dxa"/>
            <w:vAlign w:val="bottom"/>
          </w:tcPr>
          <w:p>
            <w:pPr>
              <w:jc w:val="right"/>
              <w:ind w:right="542"/>
              <w:spacing w:after="0" w:line="114" w:lineRule="exact"/>
              <w:rPr>
                <w:sz w:val="20"/>
                <w:szCs w:val="20"/>
                <w:color w:val="auto"/>
              </w:rPr>
            </w:pPr>
            <w:r>
              <w:rPr>
                <w:rFonts w:ascii="Arial" w:cs="Arial" w:eastAsia="Arial" w:hAnsi="Arial"/>
                <w:sz w:val="12"/>
                <w:szCs w:val="12"/>
                <w:color w:val="auto"/>
              </w:rPr>
              <w:t>July 3,</w:t>
            </w:r>
          </w:p>
        </w:tc>
        <w:tc>
          <w:tcPr>
            <w:tcW w:w="340" w:type="dxa"/>
            <w:vAlign w:val="bottom"/>
          </w:tcPr>
          <w:p>
            <w:pPr>
              <w:spacing w:after="0"/>
              <w:rPr>
                <w:sz w:val="9"/>
                <w:szCs w:val="9"/>
                <w:color w:val="auto"/>
              </w:rPr>
            </w:pPr>
          </w:p>
        </w:tc>
        <w:tc>
          <w:tcPr>
            <w:tcW w:w="1120" w:type="dxa"/>
            <w:vAlign w:val="bottom"/>
          </w:tcPr>
          <w:p>
            <w:pPr>
              <w:jc w:val="right"/>
              <w:ind w:right="443"/>
              <w:spacing w:after="0" w:line="114" w:lineRule="exact"/>
              <w:rPr>
                <w:sz w:val="20"/>
                <w:szCs w:val="20"/>
                <w:color w:val="auto"/>
              </w:rPr>
            </w:pPr>
            <w:r>
              <w:rPr>
                <w:rFonts w:ascii="Arial" w:cs="Arial" w:eastAsia="Arial" w:hAnsi="Arial"/>
                <w:sz w:val="12"/>
                <w:szCs w:val="12"/>
                <w:b w:val="1"/>
                <w:bCs w:val="1"/>
                <w:color w:val="auto"/>
              </w:rPr>
              <w:t>June 30,</w:t>
            </w:r>
          </w:p>
        </w:tc>
        <w:tc>
          <w:tcPr>
            <w:tcW w:w="440" w:type="dxa"/>
            <w:vAlign w:val="bottom"/>
          </w:tcPr>
          <w:p>
            <w:pPr>
              <w:spacing w:after="0"/>
              <w:rPr>
                <w:sz w:val="9"/>
                <w:szCs w:val="9"/>
                <w:color w:val="auto"/>
              </w:rPr>
            </w:pPr>
          </w:p>
        </w:tc>
        <w:tc>
          <w:tcPr>
            <w:tcW w:w="340" w:type="dxa"/>
            <w:vAlign w:val="bottom"/>
          </w:tcPr>
          <w:p>
            <w:pPr>
              <w:jc w:val="right"/>
              <w:spacing w:after="0" w:line="114" w:lineRule="exact"/>
              <w:rPr>
                <w:sz w:val="20"/>
                <w:szCs w:val="20"/>
                <w:color w:val="auto"/>
              </w:rPr>
            </w:pPr>
            <w:r>
              <w:rPr>
                <w:rFonts w:ascii="Arial" w:cs="Arial" w:eastAsia="Arial" w:hAnsi="Arial"/>
                <w:sz w:val="12"/>
                <w:szCs w:val="12"/>
                <w:color w:val="auto"/>
              </w:rPr>
              <w:t>July 3</w:t>
            </w:r>
          </w:p>
        </w:tc>
        <w:tc>
          <w:tcPr>
            <w:tcW w:w="0" w:type="dxa"/>
            <w:vAlign w:val="bottom"/>
          </w:tcPr>
          <w:p>
            <w:pPr>
              <w:spacing w:after="0"/>
              <w:rPr>
                <w:sz w:val="1"/>
                <w:szCs w:val="1"/>
                <w:color w:val="auto"/>
              </w:rPr>
            </w:pPr>
          </w:p>
        </w:tc>
      </w:tr>
      <w:tr>
        <w:trPr>
          <w:trHeight w:val="151"/>
        </w:trPr>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2"/>
              <w:spacing w:after="0"/>
              <w:rPr>
                <w:sz w:val="20"/>
                <w:szCs w:val="20"/>
                <w:color w:val="auto"/>
              </w:rPr>
            </w:pPr>
            <w:r>
              <w:rPr>
                <w:rFonts w:ascii="Arial" w:cs="Arial" w:eastAsia="Arial" w:hAnsi="Arial"/>
                <w:sz w:val="12"/>
                <w:szCs w:val="12"/>
                <w:color w:val="auto"/>
              </w:rPr>
              <w:t>2011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83"/>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98"/>
        </w:trPr>
        <w:tc>
          <w:tcPr>
            <w:tcW w:w="572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3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558,404</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1,111,805</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720" w:type="dxa"/>
            <w:vAlign w:val="bottom"/>
          </w:tcPr>
          <w:p>
            <w:pPr>
              <w:ind w:left="220"/>
              <w:spacing w:after="0" w:line="178" w:lineRule="exact"/>
              <w:rPr>
                <w:sz w:val="20"/>
                <w:szCs w:val="20"/>
                <w:color w:val="auto"/>
              </w:rPr>
            </w:pPr>
            <w:r>
              <w:rPr>
                <w:rFonts w:ascii="Arial" w:cs="Arial" w:eastAsia="Arial" w:hAnsi="Arial"/>
                <w:sz w:val="16"/>
                <w:szCs w:val="16"/>
                <w:color w:val="auto"/>
              </w:rPr>
              <w:t>Education</w:t>
            </w:r>
          </w:p>
        </w:tc>
        <w:tc>
          <w:tcPr>
            <w:tcW w:w="3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60" w:type="dxa"/>
            <w:vAlign w:val="bottom"/>
          </w:tcPr>
          <w:p>
            <w:pPr>
              <w:jc w:val="right"/>
              <w:ind w:right="61"/>
              <w:spacing w:after="0" w:line="178"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line="178" w:lineRule="exact"/>
              <w:rPr>
                <w:sz w:val="20"/>
                <w:szCs w:val="20"/>
                <w:color w:val="auto"/>
              </w:rPr>
            </w:pPr>
            <w:r>
              <w:rPr>
                <w:rFonts w:ascii="Arial" w:cs="Arial" w:eastAsia="Arial" w:hAnsi="Arial"/>
                <w:sz w:val="16"/>
                <w:szCs w:val="16"/>
                <w:color w:val="auto"/>
              </w:rPr>
              <w:t>616,962</w:t>
            </w:r>
          </w:p>
        </w:tc>
        <w:tc>
          <w:tcPr>
            <w:tcW w:w="3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40" w:type="dxa"/>
            <w:vAlign w:val="bottom"/>
          </w:tcPr>
          <w:p>
            <w:pPr>
              <w:jc w:val="right"/>
              <w:ind w:right="121"/>
              <w:spacing w:after="0" w:line="178"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190,086</w:t>
            </w:r>
          </w:p>
        </w:tc>
        <w:tc>
          <w:tcPr>
            <w:tcW w:w="36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193,352</w:t>
            </w: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360,836</w:t>
            </w:r>
          </w:p>
        </w:tc>
        <w:tc>
          <w:tcPr>
            <w:tcW w:w="4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Circulation and Subscriber</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219,286</w:t>
            </w:r>
          </w:p>
        </w:tc>
        <w:tc>
          <w:tcPr>
            <w:tcW w:w="36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216,606</w:t>
            </w: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434,516</w:t>
            </w:r>
          </w:p>
        </w:tc>
        <w:tc>
          <w:tcPr>
            <w:tcW w:w="4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39,143</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34,338</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72,238</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9"/>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Operating Costs and Expenses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
              <w:spacing w:after="0" w:line="178" w:lineRule="exact"/>
              <w:rPr>
                <w:sz w:val="20"/>
                <w:szCs w:val="20"/>
                <w:color w:val="auto"/>
              </w:rPr>
            </w:pPr>
            <w:r>
              <w:rPr>
                <w:rFonts w:ascii="Arial" w:cs="Arial" w:eastAsia="Arial" w:hAnsi="Arial"/>
                <w:sz w:val="16"/>
                <w:szCs w:val="16"/>
                <w:b w:val="1"/>
                <w:bCs w:val="1"/>
                <w:color w:val="auto"/>
              </w:rPr>
              <w:t>1,006,919</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2"/>
              <w:spacing w:after="0" w:line="178" w:lineRule="exact"/>
              <w:rPr>
                <w:sz w:val="20"/>
                <w:szCs w:val="20"/>
                <w:color w:val="auto"/>
              </w:rPr>
            </w:pPr>
            <w:r>
              <w:rPr>
                <w:rFonts w:ascii="Arial" w:cs="Arial" w:eastAsia="Arial" w:hAnsi="Arial"/>
                <w:sz w:val="16"/>
                <w:szCs w:val="16"/>
                <w:color w:val="auto"/>
              </w:rPr>
              <w:t>1,061,258</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
              <w:spacing w:after="0" w:line="178" w:lineRule="exact"/>
              <w:rPr>
                <w:sz w:val="20"/>
                <w:szCs w:val="20"/>
                <w:color w:val="auto"/>
              </w:rPr>
            </w:pPr>
            <w:r>
              <w:rPr>
                <w:rFonts w:ascii="Arial" w:cs="Arial" w:eastAsia="Arial" w:hAnsi="Arial"/>
                <w:sz w:val="16"/>
                <w:szCs w:val="16"/>
                <w:b w:val="1"/>
                <w:bCs w:val="1"/>
                <w:color w:val="auto"/>
              </w:rPr>
              <w:t>1,979,395</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87"/>
        </w:trPr>
        <w:tc>
          <w:tcPr>
            <w:tcW w:w="5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470,648</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941,847</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500,766</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408,497</w:t>
            </w:r>
          </w:p>
        </w:tc>
        <w:tc>
          <w:tcPr>
            <w:tcW w:w="36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409,173</w:t>
            </w: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825,867</w:t>
            </w:r>
          </w:p>
        </w:tc>
        <w:tc>
          <w:tcPr>
            <w:tcW w:w="4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62,978</w:t>
            </w:r>
          </w:p>
        </w:tc>
        <w:tc>
          <w:tcPr>
            <w:tcW w:w="36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62,882</w:t>
            </w: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125,479</w:t>
            </w:r>
          </w:p>
        </w:tc>
        <w:tc>
          <w:tcPr>
            <w:tcW w:w="4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4,443</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6,338</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8,380</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9"/>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Income from Operations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
              <w:spacing w:after="0" w:line="178" w:lineRule="exact"/>
              <w:rPr>
                <w:sz w:val="20"/>
                <w:szCs w:val="20"/>
                <w:color w:val="auto"/>
              </w:rPr>
            </w:pPr>
            <w:r>
              <w:rPr>
                <w:rFonts w:ascii="Arial" w:cs="Arial" w:eastAsia="Arial" w:hAnsi="Arial"/>
                <w:sz w:val="16"/>
                <w:szCs w:val="16"/>
                <w:b w:val="1"/>
                <w:bCs w:val="1"/>
                <w:color w:val="auto"/>
              </w:rPr>
              <w:t>946,566</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2"/>
              <w:spacing w:after="0" w:line="178" w:lineRule="exact"/>
              <w:rPr>
                <w:sz w:val="20"/>
                <w:szCs w:val="20"/>
                <w:color w:val="auto"/>
              </w:rPr>
            </w:pPr>
            <w:r>
              <w:rPr>
                <w:rFonts w:ascii="Arial" w:cs="Arial" w:eastAsia="Arial" w:hAnsi="Arial"/>
                <w:sz w:val="16"/>
                <w:szCs w:val="16"/>
                <w:color w:val="auto"/>
              </w:rPr>
              <w:t>979,159</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
              <w:spacing w:after="0" w:line="178" w:lineRule="exact"/>
              <w:rPr>
                <w:sz w:val="20"/>
                <w:szCs w:val="20"/>
                <w:color w:val="auto"/>
              </w:rPr>
            </w:pPr>
            <w:r>
              <w:rPr>
                <w:rFonts w:ascii="Arial" w:cs="Arial" w:eastAsia="Arial" w:hAnsi="Arial"/>
                <w:sz w:val="16"/>
                <w:szCs w:val="16"/>
                <w:b w:val="1"/>
                <w:bCs w:val="1"/>
                <w:color w:val="auto"/>
              </w:rPr>
              <w:t>1,901,573</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178"/>
        </w:trPr>
        <w:tc>
          <w:tcPr>
            <w:tcW w:w="5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60,353</w:t>
            </w:r>
          </w:p>
        </w:tc>
        <w:tc>
          <w:tcPr>
            <w:tcW w:w="360" w:type="dxa"/>
            <w:vAlign w:val="bottom"/>
          </w:tcPr>
          <w:p>
            <w:pPr>
              <w:spacing w:after="0"/>
              <w:rPr>
                <w:sz w:val="15"/>
                <w:szCs w:val="15"/>
                <w:color w:val="auto"/>
              </w:rPr>
            </w:pPr>
          </w:p>
        </w:tc>
        <w:tc>
          <w:tcPr>
            <w:tcW w:w="1120" w:type="dxa"/>
            <w:vAlign w:val="bottom"/>
          </w:tcPr>
          <w:p>
            <w:pPr>
              <w:jc w:val="right"/>
              <w:ind w:right="82"/>
              <w:spacing w:after="0" w:line="178" w:lineRule="exact"/>
              <w:rPr>
                <w:sz w:val="20"/>
                <w:szCs w:val="20"/>
                <w:color w:val="auto"/>
              </w:rPr>
            </w:pPr>
            <w:r>
              <w:rPr>
                <w:rFonts w:ascii="Arial" w:cs="Arial" w:eastAsia="Arial" w:hAnsi="Arial"/>
                <w:sz w:val="16"/>
                <w:szCs w:val="16"/>
                <w:color w:val="auto"/>
              </w:rPr>
              <w:t>82,099</w:t>
            </w:r>
          </w:p>
        </w:tc>
        <w:tc>
          <w:tcPr>
            <w:tcW w:w="340" w:type="dxa"/>
            <w:vAlign w:val="bottom"/>
          </w:tcPr>
          <w:p>
            <w:pPr>
              <w:spacing w:after="0"/>
              <w:rPr>
                <w:sz w:val="15"/>
                <w:szCs w:val="15"/>
                <w:color w:val="auto"/>
              </w:rPr>
            </w:pPr>
          </w:p>
        </w:tc>
        <w:tc>
          <w:tcPr>
            <w:tcW w:w="112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77,822</w:t>
            </w:r>
          </w:p>
        </w:tc>
        <w:tc>
          <w:tcPr>
            <w:tcW w:w="440" w:type="dxa"/>
            <w:vAlign w:val="bottom"/>
          </w:tcPr>
          <w:p>
            <w:pPr>
              <w:spacing w:after="0"/>
              <w:rPr>
                <w:sz w:val="15"/>
                <w:szCs w:val="15"/>
                <w:color w:val="auto"/>
              </w:rPr>
            </w:pP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3,314</w:t>
            </w:r>
          </w:p>
        </w:tc>
        <w:tc>
          <w:tcPr>
            <w:tcW w:w="36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3,138</w:t>
            </w: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7,202</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775</w:t>
            </w:r>
          </w:p>
        </w:tc>
        <w:tc>
          <w:tcPr>
            <w:tcW w:w="36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997</w:t>
            </w: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1,844</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7"/>
                <w:szCs w:val="17"/>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b w:val="1"/>
                <w:bCs w:val="1"/>
                <w:color w:val="auto"/>
              </w:rPr>
              <w:t>(8,979)</w:t>
            </w:r>
          </w:p>
        </w:tc>
        <w:tc>
          <w:tcPr>
            <w:tcW w:w="36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(7,960)</w:t>
            </w:r>
          </w:p>
        </w:tc>
        <w:tc>
          <w:tcPr>
            <w:tcW w:w="34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(18,142)</w:t>
            </w:r>
          </w:p>
        </w:tc>
        <w:tc>
          <w:tcPr>
            <w:tcW w:w="4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572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(1,160)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(2,591)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7,428</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8"/>
        </w:trPr>
        <w:tc>
          <w:tcPr>
            <w:tcW w:w="5720" w:type="dxa"/>
            <w:vAlign w:val="bottom"/>
          </w:tcPr>
          <w:p>
            <w:pPr>
              <w:spacing w:after="0" w:line="178" w:lineRule="exact"/>
              <w:rPr>
                <w:sz w:val="20"/>
                <w:szCs w:val="20"/>
                <w:color w:val="auto"/>
              </w:rPr>
            </w:pPr>
            <w:r>
              <w:rPr>
                <w:rFonts w:ascii="Arial" w:cs="Arial" w:eastAsia="Arial" w:hAnsi="Arial"/>
                <w:sz w:val="16"/>
                <w:szCs w:val="16"/>
                <w:b w:val="1"/>
                <w:bCs w:val="1"/>
                <w:color w:val="auto"/>
              </w:rPr>
              <w:t>Income from Continuing Operations Before Income Taxes</w:t>
            </w:r>
          </w:p>
        </w:tc>
        <w:tc>
          <w:tcPr>
            <w:tcW w:w="340" w:type="dxa"/>
            <w:vAlign w:val="bottom"/>
          </w:tcPr>
          <w:p>
            <w:pPr>
              <w:spacing w:after="0"/>
              <w:rPr>
                <w:sz w:val="15"/>
                <w:szCs w:val="15"/>
                <w:color w:val="auto"/>
              </w:rPr>
            </w:pPr>
          </w:p>
        </w:tc>
        <w:tc>
          <w:tcPr>
            <w:tcW w:w="116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54,303</w:t>
            </w:r>
          </w:p>
        </w:tc>
        <w:tc>
          <w:tcPr>
            <w:tcW w:w="360" w:type="dxa"/>
            <w:vAlign w:val="bottom"/>
          </w:tcPr>
          <w:p>
            <w:pPr>
              <w:spacing w:after="0"/>
              <w:rPr>
                <w:sz w:val="15"/>
                <w:szCs w:val="15"/>
                <w:color w:val="auto"/>
              </w:rPr>
            </w:pPr>
          </w:p>
        </w:tc>
        <w:tc>
          <w:tcPr>
            <w:tcW w:w="1120" w:type="dxa"/>
            <w:vAlign w:val="bottom"/>
          </w:tcPr>
          <w:p>
            <w:pPr>
              <w:jc w:val="right"/>
              <w:ind w:right="82"/>
              <w:spacing w:after="0" w:line="178" w:lineRule="exact"/>
              <w:rPr>
                <w:sz w:val="20"/>
                <w:szCs w:val="20"/>
                <w:color w:val="auto"/>
              </w:rPr>
            </w:pPr>
            <w:r>
              <w:rPr>
                <w:rFonts w:ascii="Arial" w:cs="Arial" w:eastAsia="Arial" w:hAnsi="Arial"/>
                <w:sz w:val="16"/>
                <w:szCs w:val="16"/>
                <w:color w:val="auto"/>
              </w:rPr>
              <w:t>75,683</w:t>
            </w:r>
          </w:p>
        </w:tc>
        <w:tc>
          <w:tcPr>
            <w:tcW w:w="340" w:type="dxa"/>
            <w:vAlign w:val="bottom"/>
          </w:tcPr>
          <w:p>
            <w:pPr>
              <w:spacing w:after="0"/>
              <w:rPr>
                <w:sz w:val="15"/>
                <w:szCs w:val="15"/>
                <w:color w:val="auto"/>
              </w:rPr>
            </w:pPr>
          </w:p>
        </w:tc>
        <w:tc>
          <w:tcPr>
            <w:tcW w:w="112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76,154</w:t>
            </w:r>
          </w:p>
        </w:tc>
        <w:tc>
          <w:tcPr>
            <w:tcW w:w="440" w:type="dxa"/>
            <w:vAlign w:val="bottom"/>
          </w:tcPr>
          <w:p>
            <w:pPr>
              <w:spacing w:after="0"/>
              <w:rPr>
                <w:sz w:val="15"/>
                <w:szCs w:val="15"/>
                <w:color w:val="auto"/>
              </w:rPr>
            </w:pP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9"/>
        </w:trPr>
        <w:tc>
          <w:tcPr>
            <w:tcW w:w="5720" w:type="dxa"/>
            <w:vAlign w:val="bottom"/>
          </w:tcPr>
          <w:p>
            <w:pPr>
              <w:spacing w:after="0"/>
              <w:rPr>
                <w:sz w:val="20"/>
                <w:szCs w:val="20"/>
                <w:color w:val="auto"/>
              </w:rPr>
            </w:pPr>
            <w:r>
              <w:rPr>
                <w:rFonts w:ascii="Arial" w:cs="Arial" w:eastAsia="Arial" w:hAnsi="Arial"/>
                <w:sz w:val="16"/>
                <w:szCs w:val="16"/>
                <w:b w:val="1"/>
                <w:bCs w:val="1"/>
                <w:color w:val="auto"/>
              </w:rPr>
              <w:t>Provision for Income Taxes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20,100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27,900</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30,600</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8"/>
        </w:trPr>
        <w:tc>
          <w:tcPr>
            <w:tcW w:w="5720" w:type="dxa"/>
            <w:vAlign w:val="bottom"/>
          </w:tcPr>
          <w:p>
            <w:pPr>
              <w:spacing w:after="0" w:line="178" w:lineRule="exact"/>
              <w:rPr>
                <w:sz w:val="20"/>
                <w:szCs w:val="20"/>
                <w:color w:val="auto"/>
              </w:rPr>
            </w:pPr>
            <w:r>
              <w:rPr>
                <w:rFonts w:ascii="Arial" w:cs="Arial" w:eastAsia="Arial" w:hAnsi="Arial"/>
                <w:sz w:val="16"/>
                <w:szCs w:val="16"/>
                <w:b w:val="1"/>
                <w:bCs w:val="1"/>
                <w:color w:val="auto"/>
              </w:rPr>
              <w:t>Income from Continuing Operations</w:t>
            </w:r>
          </w:p>
        </w:tc>
        <w:tc>
          <w:tcPr>
            <w:tcW w:w="340" w:type="dxa"/>
            <w:vAlign w:val="bottom"/>
          </w:tcPr>
          <w:p>
            <w:pPr>
              <w:spacing w:after="0"/>
              <w:rPr>
                <w:sz w:val="15"/>
                <w:szCs w:val="15"/>
                <w:color w:val="auto"/>
              </w:rPr>
            </w:pPr>
          </w:p>
        </w:tc>
        <w:tc>
          <w:tcPr>
            <w:tcW w:w="116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34,203</w:t>
            </w:r>
          </w:p>
        </w:tc>
        <w:tc>
          <w:tcPr>
            <w:tcW w:w="360" w:type="dxa"/>
            <w:vAlign w:val="bottom"/>
          </w:tcPr>
          <w:p>
            <w:pPr>
              <w:spacing w:after="0"/>
              <w:rPr>
                <w:sz w:val="15"/>
                <w:szCs w:val="15"/>
                <w:color w:val="auto"/>
              </w:rPr>
            </w:pPr>
          </w:p>
        </w:tc>
        <w:tc>
          <w:tcPr>
            <w:tcW w:w="1120" w:type="dxa"/>
            <w:vAlign w:val="bottom"/>
          </w:tcPr>
          <w:p>
            <w:pPr>
              <w:jc w:val="right"/>
              <w:ind w:right="82"/>
              <w:spacing w:after="0" w:line="178" w:lineRule="exact"/>
              <w:rPr>
                <w:sz w:val="20"/>
                <w:szCs w:val="20"/>
                <w:color w:val="auto"/>
              </w:rPr>
            </w:pPr>
            <w:r>
              <w:rPr>
                <w:rFonts w:ascii="Arial" w:cs="Arial" w:eastAsia="Arial" w:hAnsi="Arial"/>
                <w:sz w:val="16"/>
                <w:szCs w:val="16"/>
                <w:color w:val="auto"/>
              </w:rPr>
              <w:t>47,783</w:t>
            </w:r>
          </w:p>
        </w:tc>
        <w:tc>
          <w:tcPr>
            <w:tcW w:w="340" w:type="dxa"/>
            <w:vAlign w:val="bottom"/>
          </w:tcPr>
          <w:p>
            <w:pPr>
              <w:spacing w:after="0"/>
              <w:rPr>
                <w:sz w:val="15"/>
                <w:szCs w:val="15"/>
                <w:color w:val="auto"/>
              </w:rPr>
            </w:pPr>
          </w:p>
        </w:tc>
        <w:tc>
          <w:tcPr>
            <w:tcW w:w="112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45,554</w:t>
            </w:r>
          </w:p>
        </w:tc>
        <w:tc>
          <w:tcPr>
            <w:tcW w:w="440" w:type="dxa"/>
            <w:vAlign w:val="bottom"/>
          </w:tcPr>
          <w:p>
            <w:pPr>
              <w:spacing w:after="0"/>
              <w:rPr>
                <w:sz w:val="15"/>
                <w:szCs w:val="15"/>
                <w:color w:val="auto"/>
              </w:rPr>
            </w:pP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17,844</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38,061</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5720" w:type="dxa"/>
            <w:vAlign w:val="bottom"/>
          </w:tcPr>
          <w:p>
            <w:pPr>
              <w:spacing w:after="0" w:line="178" w:lineRule="exact"/>
              <w:rPr>
                <w:sz w:val="20"/>
                <w:szCs w:val="20"/>
                <w:color w:val="auto"/>
              </w:rPr>
            </w:pPr>
            <w:r>
              <w:rPr>
                <w:rFonts w:ascii="Arial" w:cs="Arial" w:eastAsia="Arial" w:hAnsi="Arial"/>
                <w:sz w:val="16"/>
                <w:szCs w:val="16"/>
                <w:b w:val="1"/>
                <w:bCs w:val="1"/>
                <w:color w:val="auto"/>
              </w:rPr>
              <w:t>Net Income</w:t>
            </w:r>
          </w:p>
        </w:tc>
        <w:tc>
          <w:tcPr>
            <w:tcW w:w="340" w:type="dxa"/>
            <w:vAlign w:val="bottom"/>
          </w:tcPr>
          <w:p>
            <w:pPr>
              <w:spacing w:after="0"/>
              <w:rPr>
                <w:sz w:val="15"/>
                <w:szCs w:val="15"/>
                <w:color w:val="auto"/>
              </w:rPr>
            </w:pPr>
          </w:p>
        </w:tc>
        <w:tc>
          <w:tcPr>
            <w:tcW w:w="116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52,047</w:t>
            </w:r>
          </w:p>
        </w:tc>
        <w:tc>
          <w:tcPr>
            <w:tcW w:w="360" w:type="dxa"/>
            <w:vAlign w:val="bottom"/>
          </w:tcPr>
          <w:p>
            <w:pPr>
              <w:spacing w:after="0"/>
              <w:rPr>
                <w:sz w:val="15"/>
                <w:szCs w:val="15"/>
                <w:color w:val="auto"/>
              </w:rPr>
            </w:pPr>
          </w:p>
        </w:tc>
        <w:tc>
          <w:tcPr>
            <w:tcW w:w="1120" w:type="dxa"/>
            <w:vAlign w:val="bottom"/>
          </w:tcPr>
          <w:p>
            <w:pPr>
              <w:jc w:val="right"/>
              <w:ind w:right="82"/>
              <w:spacing w:after="0" w:line="178" w:lineRule="exact"/>
              <w:rPr>
                <w:sz w:val="20"/>
                <w:szCs w:val="20"/>
                <w:color w:val="auto"/>
              </w:rPr>
            </w:pPr>
            <w:r>
              <w:rPr>
                <w:rFonts w:ascii="Arial" w:cs="Arial" w:eastAsia="Arial" w:hAnsi="Arial"/>
                <w:sz w:val="16"/>
                <w:szCs w:val="16"/>
                <w:color w:val="auto"/>
              </w:rPr>
              <w:t>45,763</w:t>
            </w:r>
          </w:p>
        </w:tc>
        <w:tc>
          <w:tcPr>
            <w:tcW w:w="340" w:type="dxa"/>
            <w:vAlign w:val="bottom"/>
          </w:tcPr>
          <w:p>
            <w:pPr>
              <w:spacing w:after="0"/>
              <w:rPr>
                <w:sz w:val="15"/>
                <w:szCs w:val="15"/>
                <w:color w:val="auto"/>
              </w:rPr>
            </w:pPr>
          </w:p>
        </w:tc>
        <w:tc>
          <w:tcPr>
            <w:tcW w:w="112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83,615</w:t>
            </w:r>
          </w:p>
        </w:tc>
        <w:tc>
          <w:tcPr>
            <w:tcW w:w="440" w:type="dxa"/>
            <w:vAlign w:val="bottom"/>
          </w:tcPr>
          <w:p>
            <w:pPr>
              <w:spacing w:after="0"/>
              <w:rPr>
                <w:sz w:val="15"/>
                <w:szCs w:val="15"/>
                <w:color w:val="auto"/>
              </w:rPr>
            </w:pP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(81)</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720" w:type="dxa"/>
            <w:vAlign w:val="bottom"/>
          </w:tcPr>
          <w:p>
            <w:pPr>
              <w:spacing w:after="0" w:line="178" w:lineRule="exact"/>
              <w:rPr>
                <w:sz w:val="20"/>
                <w:szCs w:val="20"/>
                <w:color w:val="auto"/>
              </w:rPr>
            </w:pPr>
            <w:r>
              <w:rPr>
                <w:rFonts w:ascii="Arial" w:cs="Arial" w:eastAsia="Arial" w:hAnsi="Arial"/>
                <w:sz w:val="16"/>
                <w:szCs w:val="16"/>
                <w:b w:val="1"/>
                <w:bCs w:val="1"/>
                <w:color w:val="auto"/>
              </w:rPr>
              <w:t>Net Income Attributable to The Washington Post Company</w:t>
            </w:r>
          </w:p>
        </w:tc>
        <w:tc>
          <w:tcPr>
            <w:tcW w:w="340" w:type="dxa"/>
            <w:vAlign w:val="bottom"/>
          </w:tcPr>
          <w:p>
            <w:pPr>
              <w:spacing w:after="0"/>
              <w:rPr>
                <w:sz w:val="15"/>
                <w:szCs w:val="15"/>
                <w:color w:val="auto"/>
              </w:rPr>
            </w:pPr>
          </w:p>
        </w:tc>
        <w:tc>
          <w:tcPr>
            <w:tcW w:w="116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52,036</w:t>
            </w:r>
          </w:p>
        </w:tc>
        <w:tc>
          <w:tcPr>
            <w:tcW w:w="360" w:type="dxa"/>
            <w:vAlign w:val="bottom"/>
          </w:tcPr>
          <w:p>
            <w:pPr>
              <w:spacing w:after="0"/>
              <w:rPr>
                <w:sz w:val="15"/>
                <w:szCs w:val="15"/>
                <w:color w:val="auto"/>
              </w:rPr>
            </w:pPr>
          </w:p>
        </w:tc>
        <w:tc>
          <w:tcPr>
            <w:tcW w:w="1120" w:type="dxa"/>
            <w:vAlign w:val="bottom"/>
          </w:tcPr>
          <w:p>
            <w:pPr>
              <w:jc w:val="right"/>
              <w:ind w:right="82"/>
              <w:spacing w:after="0" w:line="178" w:lineRule="exact"/>
              <w:rPr>
                <w:sz w:val="20"/>
                <w:szCs w:val="20"/>
                <w:color w:val="auto"/>
              </w:rPr>
            </w:pPr>
            <w:r>
              <w:rPr>
                <w:rFonts w:ascii="Arial" w:cs="Arial" w:eastAsia="Arial" w:hAnsi="Arial"/>
                <w:sz w:val="16"/>
                <w:szCs w:val="16"/>
                <w:color w:val="auto"/>
              </w:rPr>
              <w:t>45,803</w:t>
            </w:r>
          </w:p>
        </w:tc>
        <w:tc>
          <w:tcPr>
            <w:tcW w:w="340" w:type="dxa"/>
            <w:vAlign w:val="bottom"/>
          </w:tcPr>
          <w:p>
            <w:pPr>
              <w:spacing w:after="0"/>
              <w:rPr>
                <w:sz w:val="15"/>
                <w:szCs w:val="15"/>
                <w:color w:val="auto"/>
              </w:rPr>
            </w:pPr>
          </w:p>
        </w:tc>
        <w:tc>
          <w:tcPr>
            <w:tcW w:w="1120" w:type="dxa"/>
            <w:vAlign w:val="bottom"/>
          </w:tcPr>
          <w:p>
            <w:pPr>
              <w:jc w:val="right"/>
              <w:ind w:right="63"/>
              <w:spacing w:after="0" w:line="178" w:lineRule="exact"/>
              <w:rPr>
                <w:sz w:val="20"/>
                <w:szCs w:val="20"/>
                <w:color w:val="auto"/>
              </w:rPr>
            </w:pPr>
            <w:r>
              <w:rPr>
                <w:rFonts w:ascii="Arial" w:cs="Arial" w:eastAsia="Arial" w:hAnsi="Arial"/>
                <w:sz w:val="16"/>
                <w:szCs w:val="16"/>
                <w:b w:val="1"/>
                <w:bCs w:val="1"/>
                <w:color w:val="auto"/>
              </w:rPr>
              <w:t>83,534</w:t>
            </w:r>
          </w:p>
        </w:tc>
        <w:tc>
          <w:tcPr>
            <w:tcW w:w="440" w:type="dxa"/>
            <w:vAlign w:val="bottom"/>
          </w:tcPr>
          <w:p>
            <w:pPr>
              <w:spacing w:after="0"/>
              <w:rPr>
                <w:sz w:val="15"/>
                <w:szCs w:val="15"/>
                <w:color w:val="auto"/>
              </w:rPr>
            </w:pP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5720" w:type="dxa"/>
            <w:vAlign w:val="bottom"/>
          </w:tcPr>
          <w:p>
            <w:pPr>
              <w:spacing w:after="0"/>
              <w:rPr>
                <w:sz w:val="20"/>
                <w:szCs w:val="20"/>
                <w:color w:val="auto"/>
              </w:rPr>
            </w:pPr>
            <w:r>
              <w:rPr>
                <w:rFonts w:ascii="Arial" w:cs="Arial" w:eastAsia="Arial" w:hAnsi="Arial"/>
                <w:sz w:val="16"/>
                <w:szCs w:val="16"/>
                <w:b w:val="1"/>
                <w:bCs w:val="1"/>
                <w:color w:val="auto"/>
              </w:rPr>
              <w:t>Redeemable Preferred Stock Dividends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(222)</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(230)</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(673)</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720" w:type="dxa"/>
            <w:vAlign w:val="bottom"/>
          </w:tcPr>
          <w:p>
            <w:pPr>
              <w:spacing w:after="0" w:line="178" w:lineRule="exact"/>
              <w:rPr>
                <w:sz w:val="20"/>
                <w:szCs w:val="20"/>
                <w:color w:val="auto"/>
              </w:rPr>
            </w:pPr>
            <w:r>
              <w:rPr>
                <w:rFonts w:ascii="Arial" w:cs="Arial" w:eastAsia="Arial" w:hAnsi="Arial"/>
                <w:sz w:val="16"/>
                <w:szCs w:val="16"/>
                <w:b w:val="1"/>
                <w:bCs w:val="1"/>
                <w:color w:val="auto"/>
              </w:rPr>
              <w:t>Net Income Attributable to The Washington Post Company</w:t>
            </w:r>
          </w:p>
        </w:tc>
        <w:tc>
          <w:tcPr>
            <w:tcW w:w="3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51,814</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82,861</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20" w:type="dxa"/>
            <w:vAlign w:val="bottom"/>
          </w:tcPr>
          <w:p>
            <w:pPr>
              <w:ind w:left="220"/>
              <w:spacing w:after="0"/>
              <w:rPr>
                <w:sz w:val="20"/>
                <w:szCs w:val="20"/>
                <w:color w:val="auto"/>
              </w:rPr>
            </w:pPr>
            <w:r>
              <w:rPr>
                <w:rFonts w:ascii="Arial" w:cs="Arial" w:eastAsia="Arial" w:hAnsi="Arial"/>
                <w:sz w:val="16"/>
                <w:szCs w:val="16"/>
                <w:b w:val="1"/>
                <w:bCs w:val="1"/>
                <w:color w:val="auto"/>
              </w:rPr>
              <w:t>Common Stockholders</w:t>
            </w:r>
          </w:p>
        </w:tc>
        <w:tc>
          <w:tcPr>
            <w:tcW w:w="3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45,573</w:t>
            </w:r>
          </w:p>
        </w:tc>
        <w:tc>
          <w:tcPr>
            <w:tcW w:w="3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Amounts Attributable to The Washington Post Company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20"/>
              <w:spacing w:after="0"/>
              <w:rPr>
                <w:sz w:val="20"/>
                <w:szCs w:val="20"/>
                <w:color w:val="auto"/>
              </w:rPr>
            </w:pPr>
            <w:r>
              <w:rPr>
                <w:rFonts w:ascii="Arial" w:cs="Arial" w:eastAsia="Arial" w:hAnsi="Arial"/>
                <w:sz w:val="16"/>
                <w:szCs w:val="16"/>
                <w:b w:val="1"/>
                <w:bCs w:val="1"/>
                <w:color w:val="auto"/>
              </w:rPr>
              <w:t>Common Stockholders</w:t>
            </w:r>
          </w:p>
        </w:tc>
        <w:tc>
          <w:tcPr>
            <w:tcW w:w="3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33,970</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44,800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47,593</w:t>
            </w:r>
          </w:p>
        </w:tc>
        <w:tc>
          <w:tcPr>
            <w:tcW w:w="3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5720" w:type="dxa"/>
            <w:vAlign w:val="bottom"/>
          </w:tcPr>
          <w:p>
            <w:pPr>
              <w:spacing w:after="0"/>
              <w:rPr>
                <w:sz w:val="20"/>
                <w:szCs w:val="20"/>
                <w:color w:val="auto"/>
              </w:rPr>
            </w:pPr>
            <w:r>
              <w:rPr>
                <w:rFonts w:ascii="Arial" w:cs="Arial" w:eastAsia="Arial" w:hAnsi="Arial"/>
                <w:sz w:val="16"/>
                <w:szCs w:val="16"/>
                <w:color w:val="auto"/>
              </w:rPr>
              <w:t>Income (loss) from discontinued operations, net of tax</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17,844</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38,061</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5720" w:type="dxa"/>
            <w:vAlign w:val="bottom"/>
          </w:tcPr>
          <w:p>
            <w:pPr>
              <w:spacing w:after="0"/>
              <w:rPr>
                <w:sz w:val="20"/>
                <w:szCs w:val="20"/>
                <w:color w:val="auto"/>
              </w:rPr>
            </w:pPr>
            <w:r>
              <w:rPr>
                <w:rFonts w:ascii="Arial" w:cs="Arial" w:eastAsia="Arial" w:hAnsi="Arial"/>
                <w:sz w:val="16"/>
                <w:szCs w:val="16"/>
                <w:color w:val="auto"/>
              </w:rPr>
              <w:t>Net income attributable to The Washington Post Company</w:t>
            </w:r>
          </w:p>
        </w:tc>
        <w:tc>
          <w:tcPr>
            <w:tcW w:w="3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51,814</w:t>
            </w:r>
          </w:p>
        </w:tc>
        <w:tc>
          <w:tcPr>
            <w:tcW w:w="3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82"/>
              <w:spacing w:after="0"/>
              <w:rPr>
                <w:sz w:val="20"/>
                <w:szCs w:val="20"/>
                <w:color w:val="auto"/>
              </w:rPr>
            </w:pPr>
            <w:r>
              <w:rPr>
                <w:rFonts w:ascii="Arial" w:cs="Arial" w:eastAsia="Arial" w:hAnsi="Arial"/>
                <w:sz w:val="16"/>
                <w:szCs w:val="16"/>
                <w:color w:val="auto"/>
              </w:rPr>
              <w:t>45,573</w:t>
            </w: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82,861</w:t>
            </w:r>
          </w:p>
        </w:tc>
        <w:tc>
          <w:tcPr>
            <w:tcW w:w="4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2"/>
        </w:trPr>
        <w:tc>
          <w:tcPr>
            <w:tcW w:w="5720" w:type="dxa"/>
            <w:vAlign w:val="bottom"/>
          </w:tcPr>
          <w:p>
            <w:pPr>
              <w:ind w:left="220"/>
              <w:spacing w:after="0" w:line="178" w:lineRule="exact"/>
              <w:rPr>
                <w:sz w:val="20"/>
                <w:szCs w:val="20"/>
                <w:color w:val="auto"/>
              </w:rPr>
            </w:pPr>
            <w:r>
              <w:rPr>
                <w:rFonts w:ascii="Arial" w:cs="Arial" w:eastAsia="Arial" w:hAnsi="Arial"/>
                <w:sz w:val="16"/>
                <w:szCs w:val="16"/>
                <w:color w:val="auto"/>
              </w:rPr>
              <w:t>common stockholders</w:t>
            </w:r>
          </w:p>
        </w:tc>
        <w:tc>
          <w:tcPr>
            <w:tcW w:w="34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 Attributable to The Washington</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720" w:type="dxa"/>
            <w:vAlign w:val="bottom"/>
          </w:tcPr>
          <w:p>
            <w:pPr>
              <w:ind w:left="220"/>
              <w:spacing w:after="0"/>
              <w:rPr>
                <w:sz w:val="20"/>
                <w:szCs w:val="20"/>
                <w:color w:val="auto"/>
              </w:rPr>
            </w:pPr>
            <w:r>
              <w:rPr>
                <w:rFonts w:ascii="Arial" w:cs="Arial" w:eastAsia="Arial" w:hAnsi="Arial"/>
                <w:sz w:val="16"/>
                <w:szCs w:val="16"/>
                <w:b w:val="1"/>
                <w:bCs w:val="1"/>
                <w:color w:val="auto"/>
              </w:rPr>
              <w:t>Post Company Common Stockholders</w:t>
            </w:r>
          </w:p>
        </w:tc>
        <w:tc>
          <w:tcPr>
            <w:tcW w:w="3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4.48</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5.85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20" w:type="dxa"/>
            <w:vAlign w:val="bottom"/>
          </w:tcPr>
          <w:p>
            <w:pPr>
              <w:spacing w:after="0"/>
              <w:rPr>
                <w:sz w:val="20"/>
                <w:szCs w:val="20"/>
                <w:color w:val="auto"/>
              </w:rPr>
            </w:pPr>
            <w:r>
              <w:rPr>
                <w:rFonts w:ascii="Arial" w:cs="Arial" w:eastAsia="Arial" w:hAnsi="Arial"/>
                <w:sz w:val="16"/>
                <w:szCs w:val="16"/>
                <w:color w:val="auto"/>
              </w:rPr>
              <w:t>Basic income per common share from continuing operations</w:t>
            </w:r>
          </w:p>
        </w:tc>
        <w:tc>
          <w:tcPr>
            <w:tcW w:w="3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6.00</w:t>
            </w:r>
          </w:p>
        </w:tc>
        <w:tc>
          <w:tcPr>
            <w:tcW w:w="3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4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20" w:type="dxa"/>
            <w:vAlign w:val="bottom"/>
          </w:tcPr>
          <w:p>
            <w:pPr>
              <w:spacing w:after="0"/>
              <w:rPr>
                <w:sz w:val="20"/>
                <w:szCs w:val="20"/>
                <w:color w:val="auto"/>
              </w:rPr>
            </w:pPr>
            <w:r>
              <w:rPr>
                <w:rFonts w:ascii="Arial" w:cs="Arial" w:eastAsia="Arial" w:hAnsi="Arial"/>
                <w:sz w:val="16"/>
                <w:szCs w:val="16"/>
                <w:color w:val="auto"/>
              </w:rPr>
              <w:t>Basic income (loss) per common share from discontinued</w:t>
            </w:r>
          </w:p>
        </w:tc>
        <w:tc>
          <w:tcPr>
            <w:tcW w:w="340" w:type="dxa"/>
            <w:vAlign w:val="bottom"/>
          </w:tcPr>
          <w:p>
            <w:pPr>
              <w:spacing w:after="0"/>
              <w:rPr>
                <w:sz w:val="17"/>
                <w:szCs w:val="17"/>
                <w:color w:val="auto"/>
              </w:rPr>
            </w:pPr>
          </w:p>
        </w:tc>
        <w:tc>
          <w:tcPr>
            <w:tcW w:w="11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2.36</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5.02</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2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(0.26)</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720" w:type="dxa"/>
            <w:vAlign w:val="bottom"/>
          </w:tcPr>
          <w:p>
            <w:pPr>
              <w:spacing w:after="0" w:line="166" w:lineRule="exact"/>
              <w:rPr>
                <w:sz w:val="20"/>
                <w:szCs w:val="20"/>
                <w:color w:val="auto"/>
              </w:rPr>
            </w:pPr>
            <w:r>
              <w:rPr>
                <w:rFonts w:ascii="Arial" w:cs="Arial" w:eastAsia="Arial" w:hAnsi="Arial"/>
                <w:sz w:val="16"/>
                <w:szCs w:val="16"/>
                <w:color w:val="auto"/>
              </w:rPr>
              <w:t>Basic net income per common share</w:t>
            </w:r>
          </w:p>
        </w:tc>
        <w:tc>
          <w:tcPr>
            <w:tcW w:w="340" w:type="dxa"/>
            <w:vAlign w:val="bottom"/>
            <w:tcBorders>
              <w:bottom w:val="single" w:sz="8" w:color="auto"/>
            </w:tcBorders>
          </w:tcPr>
          <w:p>
            <w:pPr>
              <w:jc w:val="right"/>
              <w:ind w:right="21"/>
              <w:spacing w:after="0" w:line="166"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63"/>
              <w:spacing w:after="0" w:line="166" w:lineRule="exact"/>
              <w:rPr>
                <w:sz w:val="20"/>
                <w:szCs w:val="20"/>
                <w:color w:val="auto"/>
              </w:rPr>
            </w:pPr>
            <w:r>
              <w:rPr>
                <w:rFonts w:ascii="Arial" w:cs="Arial" w:eastAsia="Arial" w:hAnsi="Arial"/>
                <w:sz w:val="16"/>
                <w:szCs w:val="16"/>
                <w:b w:val="1"/>
                <w:bCs w:val="1"/>
                <w:color w:val="auto"/>
              </w:rPr>
              <w:t>6.84</w:t>
            </w:r>
          </w:p>
        </w:tc>
        <w:tc>
          <w:tcPr>
            <w:tcW w:w="36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5.74</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63"/>
              <w:spacing w:after="0" w:line="166" w:lineRule="exact"/>
              <w:rPr>
                <w:sz w:val="20"/>
                <w:szCs w:val="20"/>
                <w:color w:val="auto"/>
              </w:rPr>
            </w:pPr>
            <w:r>
              <w:rPr>
                <w:rFonts w:ascii="Arial" w:cs="Arial" w:eastAsia="Arial" w:hAnsi="Arial"/>
                <w:sz w:val="16"/>
                <w:szCs w:val="16"/>
                <w:b w:val="1"/>
                <w:bCs w:val="1"/>
                <w:color w:val="auto"/>
              </w:rPr>
              <w:t>10.87</w:t>
            </w:r>
          </w:p>
        </w:tc>
        <w:tc>
          <w:tcPr>
            <w:tcW w:w="440" w:type="dxa"/>
            <w:vAlign w:val="bottom"/>
            <w:tcBorders>
              <w:bottom w:val="single" w:sz="8" w:color="auto"/>
            </w:tcBorders>
          </w:tcPr>
          <w:p>
            <w:pPr>
              <w:jc w:val="right"/>
              <w:ind w:right="121"/>
              <w:spacing w:after="0" w:line="16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Basic average number of common shares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20" w:type="dxa"/>
            <w:vAlign w:val="bottom"/>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3"/>
              <w:spacing w:after="0" w:line="151" w:lineRule="exact"/>
              <w:rPr>
                <w:sz w:val="20"/>
                <w:szCs w:val="20"/>
                <w:color w:val="auto"/>
              </w:rPr>
            </w:pPr>
            <w:r>
              <w:rPr>
                <w:rFonts w:ascii="Arial" w:cs="Arial" w:eastAsia="Arial" w:hAnsi="Arial"/>
                <w:sz w:val="16"/>
                <w:szCs w:val="16"/>
                <w:b w:val="1"/>
                <w:bCs w:val="1"/>
                <w:color w:val="auto"/>
              </w:rPr>
              <w:t>7,431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2"/>
              <w:spacing w:after="0" w:line="151" w:lineRule="exact"/>
              <w:rPr>
                <w:sz w:val="20"/>
                <w:szCs w:val="20"/>
                <w:color w:val="auto"/>
              </w:rPr>
            </w:pPr>
            <w:r>
              <w:rPr>
                <w:rFonts w:ascii="Arial" w:cs="Arial" w:eastAsia="Arial" w:hAnsi="Arial"/>
                <w:sz w:val="16"/>
                <w:szCs w:val="16"/>
                <w:color w:val="auto"/>
              </w:rPr>
              <w:t>7,852</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
              <w:spacing w:after="0" w:line="151" w:lineRule="exact"/>
              <w:rPr>
                <w:sz w:val="20"/>
                <w:szCs w:val="20"/>
                <w:color w:val="auto"/>
              </w:rPr>
            </w:pPr>
            <w:r>
              <w:rPr>
                <w:rFonts w:ascii="Arial" w:cs="Arial" w:eastAsia="Arial" w:hAnsi="Arial"/>
                <w:sz w:val="16"/>
                <w:szCs w:val="16"/>
                <w:b w:val="1"/>
                <w:bCs w:val="1"/>
                <w:color w:val="auto"/>
              </w:rPr>
              <w:t>7,473</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Diluted income per common share from continuing operations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340" w:type="dxa"/>
            <w:vAlign w:val="bottom"/>
          </w:tcPr>
          <w:p>
            <w:pPr>
              <w:jc w:val="right"/>
              <w:ind w:right="21"/>
              <w:spacing w:after="0" w:line="170"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63"/>
              <w:spacing w:after="0" w:line="170" w:lineRule="exact"/>
              <w:rPr>
                <w:sz w:val="20"/>
                <w:szCs w:val="20"/>
                <w:color w:val="auto"/>
              </w:rPr>
            </w:pPr>
            <w:r>
              <w:rPr>
                <w:rFonts w:ascii="Arial" w:cs="Arial" w:eastAsia="Arial" w:hAnsi="Arial"/>
                <w:sz w:val="16"/>
                <w:szCs w:val="16"/>
                <w:b w:val="1"/>
                <w:bCs w:val="1"/>
                <w:color w:val="auto"/>
              </w:rPr>
              <w:t>4.48</w:t>
            </w:r>
          </w:p>
        </w:tc>
        <w:tc>
          <w:tcPr>
            <w:tcW w:w="360" w:type="dxa"/>
            <w:vAlign w:val="bottom"/>
          </w:tcPr>
          <w:p>
            <w:pPr>
              <w:jc w:val="right"/>
              <w:ind w:right="61"/>
              <w:spacing w:after="0" w:line="170"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line="170" w:lineRule="exact"/>
              <w:rPr>
                <w:sz w:val="20"/>
                <w:szCs w:val="20"/>
                <w:color w:val="auto"/>
              </w:rPr>
            </w:pPr>
            <w:r>
              <w:rPr>
                <w:rFonts w:ascii="Arial" w:cs="Arial" w:eastAsia="Arial" w:hAnsi="Arial"/>
                <w:sz w:val="16"/>
                <w:szCs w:val="16"/>
                <w:color w:val="auto"/>
              </w:rPr>
              <w:t>6.00</w:t>
            </w:r>
          </w:p>
        </w:tc>
        <w:tc>
          <w:tcPr>
            <w:tcW w:w="340" w:type="dxa"/>
            <w:vAlign w:val="bottom"/>
          </w:tcPr>
          <w:p>
            <w:pPr>
              <w:jc w:val="right"/>
              <w:ind w:right="41"/>
              <w:spacing w:after="0" w:line="170" w:lineRule="exact"/>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63"/>
              <w:spacing w:after="0" w:line="170" w:lineRule="exact"/>
              <w:rPr>
                <w:sz w:val="20"/>
                <w:szCs w:val="20"/>
                <w:color w:val="auto"/>
              </w:rPr>
            </w:pPr>
            <w:r>
              <w:rPr>
                <w:rFonts w:ascii="Arial" w:cs="Arial" w:eastAsia="Arial" w:hAnsi="Arial"/>
                <w:sz w:val="16"/>
                <w:szCs w:val="16"/>
                <w:b w:val="1"/>
                <w:bCs w:val="1"/>
                <w:color w:val="auto"/>
              </w:rPr>
              <w:t>5.85</w:t>
            </w:r>
          </w:p>
        </w:tc>
        <w:tc>
          <w:tcPr>
            <w:tcW w:w="440" w:type="dxa"/>
            <w:vAlign w:val="bottom"/>
          </w:tcPr>
          <w:p>
            <w:pPr>
              <w:jc w:val="right"/>
              <w:ind w:right="121"/>
              <w:spacing w:after="0" w:line="170"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720" w:type="dxa"/>
            <w:vAlign w:val="bottom"/>
          </w:tcPr>
          <w:p>
            <w:pPr>
              <w:spacing w:after="0"/>
              <w:rPr>
                <w:sz w:val="20"/>
                <w:szCs w:val="20"/>
                <w:color w:val="auto"/>
              </w:rPr>
            </w:pPr>
            <w:r>
              <w:rPr>
                <w:rFonts w:ascii="Arial" w:cs="Arial" w:eastAsia="Arial" w:hAnsi="Arial"/>
                <w:sz w:val="16"/>
                <w:szCs w:val="16"/>
                <w:color w:val="auto"/>
              </w:rPr>
              <w:t>Diluted income (loss) per common share from discontinued</w:t>
            </w:r>
          </w:p>
        </w:tc>
        <w:tc>
          <w:tcPr>
            <w:tcW w:w="340" w:type="dxa"/>
            <w:vAlign w:val="bottom"/>
          </w:tcPr>
          <w:p>
            <w:pPr>
              <w:spacing w:after="0"/>
              <w:rPr>
                <w:sz w:val="16"/>
                <w:szCs w:val="16"/>
                <w:color w:val="auto"/>
              </w:rPr>
            </w:pPr>
          </w:p>
        </w:tc>
        <w:tc>
          <w:tcPr>
            <w:tcW w:w="116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2.36</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5.02</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2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(0.26)</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720" w:type="dxa"/>
            <w:vAlign w:val="bottom"/>
          </w:tcPr>
          <w:p>
            <w:pPr>
              <w:spacing w:after="0" w:line="166" w:lineRule="exact"/>
              <w:rPr>
                <w:sz w:val="20"/>
                <w:szCs w:val="20"/>
                <w:color w:val="auto"/>
              </w:rPr>
            </w:pPr>
            <w:r>
              <w:rPr>
                <w:rFonts w:ascii="Arial" w:cs="Arial" w:eastAsia="Arial" w:hAnsi="Arial"/>
                <w:sz w:val="16"/>
                <w:szCs w:val="16"/>
                <w:color w:val="auto"/>
              </w:rPr>
              <w:t>Diluted net income per common share</w:t>
            </w:r>
          </w:p>
        </w:tc>
        <w:tc>
          <w:tcPr>
            <w:tcW w:w="340" w:type="dxa"/>
            <w:vAlign w:val="bottom"/>
            <w:tcBorders>
              <w:bottom w:val="single" w:sz="8" w:color="auto"/>
            </w:tcBorders>
          </w:tcPr>
          <w:p>
            <w:pPr>
              <w:jc w:val="right"/>
              <w:ind w:right="21"/>
              <w:spacing w:after="0" w:line="166"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63"/>
              <w:spacing w:after="0" w:line="166" w:lineRule="exact"/>
              <w:rPr>
                <w:sz w:val="20"/>
                <w:szCs w:val="20"/>
                <w:color w:val="auto"/>
              </w:rPr>
            </w:pPr>
            <w:r>
              <w:rPr>
                <w:rFonts w:ascii="Arial" w:cs="Arial" w:eastAsia="Arial" w:hAnsi="Arial"/>
                <w:sz w:val="16"/>
                <w:szCs w:val="16"/>
                <w:b w:val="1"/>
                <w:bCs w:val="1"/>
                <w:color w:val="auto"/>
              </w:rPr>
              <w:t>6.84</w:t>
            </w:r>
          </w:p>
        </w:tc>
        <w:tc>
          <w:tcPr>
            <w:tcW w:w="36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5.74</w:t>
            </w:r>
          </w:p>
        </w:tc>
        <w:tc>
          <w:tcPr>
            <w:tcW w:w="34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63"/>
              <w:spacing w:after="0" w:line="166" w:lineRule="exact"/>
              <w:rPr>
                <w:sz w:val="20"/>
                <w:szCs w:val="20"/>
                <w:color w:val="auto"/>
              </w:rPr>
            </w:pPr>
            <w:r>
              <w:rPr>
                <w:rFonts w:ascii="Arial" w:cs="Arial" w:eastAsia="Arial" w:hAnsi="Arial"/>
                <w:sz w:val="16"/>
                <w:szCs w:val="16"/>
                <w:b w:val="1"/>
                <w:bCs w:val="1"/>
                <w:color w:val="auto"/>
              </w:rPr>
              <w:t>10.87</w:t>
            </w:r>
          </w:p>
        </w:tc>
        <w:tc>
          <w:tcPr>
            <w:tcW w:w="440" w:type="dxa"/>
            <w:vAlign w:val="bottom"/>
            <w:tcBorders>
              <w:bottom w:val="single" w:sz="8" w:color="auto"/>
            </w:tcBorders>
          </w:tcPr>
          <w:p>
            <w:pPr>
              <w:jc w:val="right"/>
              <w:ind w:right="121"/>
              <w:spacing w:after="0" w:line="16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Diluted average number of common shares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20" w:type="dxa"/>
            <w:vAlign w:val="bottom"/>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3"/>
              <w:spacing w:after="0" w:line="151" w:lineRule="exact"/>
              <w:rPr>
                <w:sz w:val="20"/>
                <w:szCs w:val="20"/>
                <w:color w:val="auto"/>
              </w:rPr>
            </w:pPr>
            <w:r>
              <w:rPr>
                <w:rFonts w:ascii="Arial" w:cs="Arial" w:eastAsia="Arial" w:hAnsi="Arial"/>
                <w:sz w:val="16"/>
                <w:szCs w:val="16"/>
                <w:b w:val="1"/>
                <w:bCs w:val="1"/>
                <w:color w:val="auto"/>
              </w:rPr>
              <w:t>7,545</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2"/>
              <w:spacing w:after="0" w:line="151" w:lineRule="exact"/>
              <w:rPr>
                <w:sz w:val="20"/>
                <w:szCs w:val="20"/>
                <w:color w:val="auto"/>
              </w:rPr>
            </w:pPr>
            <w:r>
              <w:rPr>
                <w:rFonts w:ascii="Arial" w:cs="Arial" w:eastAsia="Arial" w:hAnsi="Arial"/>
                <w:sz w:val="16"/>
                <w:szCs w:val="16"/>
                <w:color w:val="auto"/>
              </w:rPr>
              <w:t>7,933</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
              <w:spacing w:after="0" w:line="151" w:lineRule="exact"/>
              <w:rPr>
                <w:sz w:val="20"/>
                <w:szCs w:val="20"/>
                <w:color w:val="auto"/>
              </w:rPr>
            </w:pPr>
            <w:r>
              <w:rPr>
                <w:rFonts w:ascii="Arial" w:cs="Arial" w:eastAsia="Arial" w:hAnsi="Arial"/>
                <w:sz w:val="16"/>
                <w:szCs w:val="16"/>
                <w:b w:val="1"/>
                <w:bCs w:val="1"/>
                <w:color w:val="auto"/>
              </w:rPr>
              <w:t>7,580</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18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3" w:name="page4"/>
    <w:bookmarkEnd w:id="3"/>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232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b w:val="1"/>
                <w:bCs w:val="1"/>
                <w:color w:val="auto"/>
              </w:rPr>
              <w:t>Three Months Ended</w:t>
            </w:r>
          </w:p>
        </w:tc>
        <w:tc>
          <w:tcPr>
            <w:tcW w:w="1960" w:type="dxa"/>
            <w:vAlign w:val="bottom"/>
            <w:tcBorders>
              <w:bottom w:val="single" w:sz="8" w:color="auto"/>
            </w:tcBorders>
            <w:gridSpan w:val="2"/>
          </w:tcPr>
          <w:p>
            <w:pPr>
              <w:ind w:left="720"/>
              <w:spacing w:after="0"/>
              <w:rPr>
                <w:sz w:val="20"/>
                <w:szCs w:val="20"/>
                <w:color w:val="auto"/>
              </w:rPr>
            </w:pPr>
            <w:r>
              <w:rPr>
                <w:rFonts w:ascii="Arial" w:cs="Arial" w:eastAsia="Arial" w:hAnsi="Arial"/>
                <w:sz w:val="12"/>
                <w:szCs w:val="12"/>
                <w:b w:val="1"/>
                <w:bCs w:val="1"/>
                <w:color w:val="auto"/>
              </w:rPr>
              <w:t>Six Months Ended</w:t>
            </w:r>
          </w:p>
        </w:tc>
      </w:tr>
      <w:tr>
        <w:trPr>
          <w:trHeight w:val="177"/>
        </w:trPr>
        <w:tc>
          <w:tcPr>
            <w:tcW w:w="66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June 30,</w:t>
            </w:r>
          </w:p>
        </w:tc>
        <w:tc>
          <w:tcPr>
            <w:tcW w:w="1120" w:type="dxa"/>
            <w:vAlign w:val="bottom"/>
          </w:tcPr>
          <w:p>
            <w:pPr>
              <w:jc w:val="center"/>
              <w:spacing w:after="0"/>
              <w:rPr>
                <w:sz w:val="20"/>
                <w:szCs w:val="20"/>
                <w:color w:val="auto"/>
              </w:rPr>
            </w:pPr>
            <w:r>
              <w:rPr>
                <w:rFonts w:ascii="Arial" w:cs="Arial" w:eastAsia="Arial" w:hAnsi="Arial"/>
                <w:sz w:val="12"/>
                <w:szCs w:val="12"/>
                <w:color w:val="auto"/>
                <w:w w:val="97"/>
              </w:rPr>
              <w:t>July 3,</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June 30,</w:t>
            </w:r>
          </w:p>
        </w:tc>
        <w:tc>
          <w:tcPr>
            <w:tcW w:w="680" w:type="dxa"/>
            <w:vAlign w:val="bottom"/>
          </w:tcPr>
          <w:p>
            <w:pPr>
              <w:jc w:val="center"/>
              <w:ind w:left="318"/>
              <w:spacing w:after="0"/>
              <w:rPr>
                <w:sz w:val="20"/>
                <w:szCs w:val="20"/>
                <w:color w:val="auto"/>
              </w:rPr>
            </w:pPr>
            <w:r>
              <w:rPr>
                <w:rFonts w:ascii="Arial" w:cs="Arial" w:eastAsia="Arial" w:hAnsi="Arial"/>
                <w:sz w:val="12"/>
                <w:szCs w:val="12"/>
                <w:color w:val="auto"/>
              </w:rPr>
              <w:t>July</w:t>
            </w:r>
          </w:p>
        </w:tc>
      </w:tr>
      <w:tr>
        <w:trPr>
          <w:trHeight w:val="175"/>
        </w:trPr>
        <w:tc>
          <w:tcPr>
            <w:tcW w:w="6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b w:val="1"/>
                <w:bCs w:val="1"/>
                <w:color w:val="auto"/>
              </w:rPr>
              <w:t>2012</w:t>
            </w: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2011</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b w:val="1"/>
                <w:bCs w:val="1"/>
                <w:color w:val="auto"/>
              </w:rPr>
              <w:t>2012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bl>
    <w:p>
      <w:pPr>
        <w:spacing w:after="0" w:line="1" w:lineRule="exact"/>
        <w:rPr>
          <w:sz w:val="20"/>
          <w:szCs w:val="20"/>
          <w:color w:val="auto"/>
        </w:rPr>
      </w:pPr>
    </w:p>
    <w:p>
      <w:pPr>
        <w:sectPr>
          <w:pgSz w:w="11900" w:h="16838" w:orient="portrait"/>
          <w:cols w:equalWidth="0" w:num="1">
            <w:col w:w="10940"/>
          </w:cols>
          <w:pgMar w:left="820" w:top="528" w:right="139" w:bottom="1440" w:gutter="0" w:footer="0" w:header="0"/>
        </w:sectPr>
      </w:pPr>
    </w:p>
    <w:p>
      <w:pPr>
        <w:spacing w:after="0"/>
        <w:rPr>
          <w:sz w:val="20"/>
          <w:szCs w:val="20"/>
          <w:color w:val="auto"/>
        </w:rPr>
      </w:pPr>
      <w:r>
        <w:rPr>
          <w:rFonts w:ascii="Arial" w:cs="Arial" w:eastAsia="Arial" w:hAnsi="Arial"/>
          <w:sz w:val="15"/>
          <w:szCs w:val="15"/>
          <w:b w:val="1"/>
          <w:bCs w:val="1"/>
          <w:color w:val="auto"/>
        </w:rPr>
        <w:t>Net Income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 (Loss), Before Tax</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Foreign currency translation adjustments:</w:t>
      </w:r>
    </w:p>
    <w:p>
      <w:pPr>
        <w:spacing w:after="0" w:line="26" w:lineRule="exact"/>
        <w:rPr>
          <w:sz w:val="20"/>
          <w:szCs w:val="20"/>
          <w:color w:val="auto"/>
        </w:rPr>
      </w:pPr>
    </w:p>
    <w:p>
      <w:pPr>
        <w:ind w:left="460" w:right="1640"/>
        <w:spacing w:after="0" w:line="322" w:lineRule="auto"/>
        <w:rPr>
          <w:sz w:val="20"/>
          <w:szCs w:val="20"/>
          <w:color w:val="auto"/>
        </w:rPr>
      </w:pPr>
      <w:r>
        <w:rPr>
          <w:rFonts w:ascii="Arial" w:cs="Arial" w:eastAsia="Arial" w:hAnsi="Arial"/>
          <w:sz w:val="14"/>
          <w:szCs w:val="14"/>
          <w:color w:val="auto"/>
        </w:rPr>
        <w:t>Translation adjustments arising during the period Adjustment for sales of businesses with foreign operations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Unrealized gains (losses) on available-for-sale securities: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Unrealized gains (losses) for the period</w:t>
      </w:r>
    </w:p>
    <w:p>
      <w:pPr>
        <w:spacing w:after="0" w:line="26" w:lineRule="exact"/>
        <w:rPr>
          <w:sz w:val="20"/>
          <w:szCs w:val="20"/>
          <w:color w:val="auto"/>
        </w:rPr>
      </w:pPr>
    </w:p>
    <w:p>
      <w:pPr>
        <w:ind w:left="700" w:right="820" w:hanging="235"/>
        <w:spacing w:after="0" w:line="285" w:lineRule="auto"/>
        <w:rPr>
          <w:sz w:val="20"/>
          <w:szCs w:val="20"/>
          <w:color w:val="auto"/>
        </w:rPr>
      </w:pPr>
      <w:r>
        <w:rPr>
          <w:rFonts w:ascii="Arial" w:cs="Arial" w:eastAsia="Arial" w:hAnsi="Arial"/>
          <w:sz w:val="15"/>
          <w:szCs w:val="15"/>
          <w:color w:val="auto"/>
        </w:rPr>
        <w:t>Reclassification adjustment for gain or write-down on available-for-sale securities included in net income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Pension and other postretirement plans: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Amortization of net prior service credit included in net income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Amortization of net actuarial loss (gain) included in net income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Foreign affiliate pension adjustments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Cash flow hedge, net change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(Loss) Income, Before Tax</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Income tax (expense) benefit related to items of other comprehensive income</w:t>
      </w:r>
    </w:p>
    <w:p>
      <w:pPr>
        <w:spacing w:after="0" w:line="20" w:lineRule="exact"/>
        <w:rPr>
          <w:sz w:val="20"/>
          <w:szCs w:val="20"/>
          <w:color w:val="auto"/>
        </w:rPr>
      </w:pPr>
    </w:p>
    <w:p>
      <w:pPr>
        <w:ind w:right="2560"/>
        <w:spacing w:after="0" w:line="288" w:lineRule="auto"/>
        <w:rPr>
          <w:sz w:val="20"/>
          <w:szCs w:val="20"/>
          <w:color w:val="auto"/>
        </w:rPr>
      </w:pPr>
      <w:r>
        <w:rPr>
          <w:rFonts w:ascii="Arial" w:cs="Arial" w:eastAsia="Arial" w:hAnsi="Arial"/>
          <w:sz w:val="15"/>
          <w:szCs w:val="15"/>
          <w:b w:val="1"/>
          <w:bCs w:val="1"/>
          <w:color w:val="auto"/>
        </w:rPr>
        <w:t>Other Comprehensive (Loss) Income, Net of Tax Comprehensive Income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Comprehensive income attributable to noncontrolling interests</w:t>
      </w:r>
    </w:p>
    <w:p>
      <w:pPr>
        <w:spacing w:after="0" w:line="8" w:lineRule="exact"/>
        <w:rPr>
          <w:sz w:val="20"/>
          <w:szCs w:val="20"/>
          <w:color w:val="auto"/>
        </w:rPr>
      </w:pPr>
    </w:p>
    <w:p>
      <w:pPr>
        <w:ind w:left="220" w:right="1640" w:hanging="235"/>
        <w:spacing w:after="0" w:line="310" w:lineRule="auto"/>
        <w:rPr>
          <w:sz w:val="20"/>
          <w:szCs w:val="20"/>
          <w:color w:val="auto"/>
        </w:rPr>
      </w:pPr>
      <w:r>
        <w:rPr>
          <w:rFonts w:ascii="Arial" w:cs="Arial" w:eastAsia="Arial" w:hAnsi="Arial"/>
          <w:sz w:val="15"/>
          <w:szCs w:val="15"/>
          <w:b w:val="1"/>
          <w:bCs w:val="1"/>
          <w:color w:val="auto"/>
        </w:rPr>
        <w:t>Total Comprehensive Income Attributable to The Washington Post Company</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26"/>
              <w:spacing w:after="0"/>
              <w:rPr>
                <w:sz w:val="20"/>
                <w:szCs w:val="20"/>
                <w:color w:val="auto"/>
              </w:rPr>
            </w:pPr>
            <w:r>
              <w:rPr>
                <w:rFonts w:ascii="Arial" w:cs="Arial" w:eastAsia="Arial" w:hAnsi="Arial"/>
                <w:sz w:val="15"/>
                <w:szCs w:val="15"/>
                <w:b w:val="1"/>
                <w:bCs w:val="1"/>
                <w:color w:val="auto"/>
              </w:rPr>
              <w:t>52,047</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45,763</w:t>
            </w:r>
          </w:p>
        </w:tc>
        <w:tc>
          <w:tcPr>
            <w:tcW w:w="40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83,615</w:t>
            </w:r>
          </w:p>
        </w:tc>
        <w:tc>
          <w:tcPr>
            <w:tcW w:w="660" w:type="dxa"/>
            <w:vAlign w:val="bottom"/>
          </w:tcPr>
          <w:p>
            <w:pPr>
              <w:jc w:val="right"/>
              <w:ind w:right="346"/>
              <w:spacing w:after="0"/>
              <w:rPr>
                <w:sz w:val="20"/>
                <w:szCs w:val="20"/>
                <w:color w:val="auto"/>
              </w:rPr>
            </w:pPr>
            <w:r>
              <w:rPr>
                <w:rFonts w:ascii="Arial" w:cs="Arial" w:eastAsia="Arial" w:hAnsi="Arial"/>
                <w:sz w:val="15"/>
                <w:szCs w:val="15"/>
                <w:color w:val="auto"/>
              </w:rPr>
              <w:t>$</w:t>
            </w:r>
          </w:p>
        </w:tc>
      </w:tr>
      <w:tr>
        <w:trPr>
          <w:trHeight w:val="592"/>
        </w:trPr>
        <w:tc>
          <w:tcPr>
            <w:tcW w:w="380" w:type="dxa"/>
            <w:vAlign w:val="bottom"/>
          </w:tcPr>
          <w:p>
            <w:pPr>
              <w:spacing w:after="0"/>
              <w:rPr>
                <w:sz w:val="24"/>
                <w:szCs w:val="24"/>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b w:val="1"/>
                <w:bCs w:val="1"/>
                <w:color w:val="auto"/>
              </w:rPr>
              <w:t>(8,911)</w:t>
            </w:r>
          </w:p>
        </w:tc>
        <w:tc>
          <w:tcPr>
            <w:tcW w:w="32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5,088</w:t>
            </w:r>
          </w:p>
        </w:tc>
        <w:tc>
          <w:tcPr>
            <w:tcW w:w="40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(1,088)</w:t>
            </w:r>
          </w:p>
        </w:tc>
        <w:tc>
          <w:tcPr>
            <w:tcW w:w="660" w:type="dxa"/>
            <w:vAlign w:val="bottom"/>
          </w:tcPr>
          <w:p>
            <w:pPr>
              <w:spacing w:after="0"/>
              <w:rPr>
                <w:sz w:val="24"/>
                <w:szCs w:val="24"/>
                <w:color w:val="auto"/>
              </w:rPr>
            </w:pPr>
          </w:p>
        </w:tc>
      </w:tr>
      <w:tr>
        <w:trPr>
          <w:trHeight w:val="192"/>
        </w:trPr>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521</w:t>
            </w:r>
          </w:p>
        </w:tc>
        <w:tc>
          <w:tcPr>
            <w:tcW w:w="660" w:type="dxa"/>
            <w:vAlign w:val="bottom"/>
            <w:tcBorders>
              <w:bottom w:val="single" w:sz="8" w:color="auto"/>
            </w:tcBorders>
          </w:tcPr>
          <w:p>
            <w:pPr>
              <w:spacing w:after="0"/>
              <w:rPr>
                <w:sz w:val="16"/>
                <w:szCs w:val="16"/>
                <w:color w:val="auto"/>
              </w:rPr>
            </w:pPr>
          </w:p>
        </w:tc>
      </w:tr>
      <w:tr>
        <w:trPr>
          <w:trHeight w:val="179"/>
        </w:trPr>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(8,903)</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5,088</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(567)</w:t>
            </w:r>
          </w:p>
        </w:tc>
        <w:tc>
          <w:tcPr>
            <w:tcW w:w="660" w:type="dxa"/>
            <w:vAlign w:val="bottom"/>
            <w:tcBorders>
              <w:bottom w:val="single" w:sz="8" w:color="auto"/>
            </w:tcBorders>
          </w:tcPr>
          <w:p>
            <w:pPr>
              <w:spacing w:after="0"/>
              <w:rPr>
                <w:sz w:val="15"/>
                <w:szCs w:val="15"/>
                <w:color w:val="auto"/>
              </w:rPr>
            </w:pPr>
          </w:p>
        </w:tc>
      </w:tr>
      <w:tr>
        <w:trPr>
          <w:trHeight w:val="384"/>
        </w:trPr>
        <w:tc>
          <w:tcPr>
            <w:tcW w:w="380" w:type="dxa"/>
            <w:vAlign w:val="bottom"/>
          </w:tcPr>
          <w:p>
            <w:pPr>
              <w:spacing w:after="0"/>
              <w:rPr>
                <w:sz w:val="24"/>
                <w:szCs w:val="24"/>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b w:val="1"/>
                <w:bCs w:val="1"/>
                <w:color w:val="auto"/>
              </w:rPr>
              <w:t>6,590</w:t>
            </w:r>
          </w:p>
        </w:tc>
        <w:tc>
          <w:tcPr>
            <w:tcW w:w="32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(22,315)</w:t>
            </w:r>
          </w:p>
        </w:tc>
        <w:tc>
          <w:tcPr>
            <w:tcW w:w="40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38,905</w:t>
            </w: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390"/>
        </w:trPr>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(772)</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(772)</w:t>
            </w:r>
          </w:p>
        </w:tc>
        <w:tc>
          <w:tcPr>
            <w:tcW w:w="660" w:type="dxa"/>
            <w:vAlign w:val="bottom"/>
            <w:tcBorders>
              <w:bottom w:val="single" w:sz="8" w:color="auto"/>
            </w:tcBorders>
          </w:tcPr>
          <w:p>
            <w:pPr>
              <w:spacing w:after="0"/>
              <w:rPr>
                <w:sz w:val="24"/>
                <w:szCs w:val="24"/>
                <w:color w:val="auto"/>
              </w:rPr>
            </w:pPr>
          </w:p>
        </w:tc>
      </w:tr>
      <w:tr>
        <w:trPr>
          <w:trHeight w:val="179"/>
        </w:trPr>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5,818</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(22,315)</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38,133</w:t>
            </w:r>
          </w:p>
        </w:tc>
        <w:tc>
          <w:tcPr>
            <w:tcW w:w="660" w:type="dxa"/>
            <w:vAlign w:val="bottom"/>
            <w:tcBorders>
              <w:bottom w:val="single" w:sz="8" w:color="auto"/>
            </w:tcBorders>
          </w:tcPr>
          <w:p>
            <w:pPr>
              <w:spacing w:after="0"/>
              <w:rPr>
                <w:sz w:val="15"/>
                <w:szCs w:val="15"/>
                <w:color w:val="auto"/>
              </w:rPr>
            </w:pPr>
          </w:p>
        </w:tc>
      </w:tr>
      <w:tr>
        <w:trPr>
          <w:trHeight w:val="384"/>
        </w:trPr>
        <w:tc>
          <w:tcPr>
            <w:tcW w:w="380" w:type="dxa"/>
            <w:vAlign w:val="bottom"/>
          </w:tcPr>
          <w:p>
            <w:pPr>
              <w:spacing w:after="0"/>
              <w:rPr>
                <w:sz w:val="24"/>
                <w:szCs w:val="24"/>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b w:val="1"/>
                <w:bCs w:val="1"/>
                <w:color w:val="auto"/>
              </w:rPr>
              <w:t>(470)</w:t>
            </w:r>
          </w:p>
        </w:tc>
        <w:tc>
          <w:tcPr>
            <w:tcW w:w="32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(465)</w:t>
            </w:r>
          </w:p>
        </w:tc>
        <w:tc>
          <w:tcPr>
            <w:tcW w:w="40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(921)</w:t>
            </w:r>
          </w:p>
        </w:tc>
        <w:tc>
          <w:tcPr>
            <w:tcW w:w="660" w:type="dxa"/>
            <w:vAlign w:val="bottom"/>
          </w:tcPr>
          <w:p>
            <w:pPr>
              <w:spacing w:after="0"/>
              <w:rPr>
                <w:sz w:val="24"/>
                <w:szCs w:val="24"/>
                <w:color w:val="auto"/>
              </w:rPr>
            </w:pPr>
          </w:p>
        </w:tc>
      </w:tr>
      <w:tr>
        <w:trPr>
          <w:trHeight w:val="199"/>
        </w:trPr>
        <w:tc>
          <w:tcPr>
            <w:tcW w:w="38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b w:val="1"/>
                <w:bCs w:val="1"/>
                <w:color w:val="auto"/>
              </w:rPr>
              <w:t>2,590</w:t>
            </w:r>
          </w:p>
        </w:tc>
        <w:tc>
          <w:tcPr>
            <w:tcW w:w="320" w:type="dxa"/>
            <w:vAlign w:val="bottom"/>
          </w:tcPr>
          <w:p>
            <w:pPr>
              <w:spacing w:after="0"/>
              <w:rPr>
                <w:sz w:val="17"/>
                <w:szCs w:val="17"/>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(128)</w:t>
            </w:r>
          </w:p>
        </w:tc>
        <w:tc>
          <w:tcPr>
            <w:tcW w:w="400" w:type="dxa"/>
            <w:vAlign w:val="bottom"/>
          </w:tcPr>
          <w:p>
            <w:pPr>
              <w:spacing w:after="0"/>
              <w:rPr>
                <w:sz w:val="17"/>
                <w:szCs w:val="17"/>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4,247</w:t>
            </w:r>
          </w:p>
        </w:tc>
        <w:tc>
          <w:tcPr>
            <w:tcW w:w="660" w:type="dxa"/>
            <w:vAlign w:val="bottom"/>
          </w:tcPr>
          <w:p>
            <w:pPr>
              <w:spacing w:after="0"/>
              <w:rPr>
                <w:sz w:val="17"/>
                <w:szCs w:val="17"/>
                <w:color w:val="auto"/>
              </w:rPr>
            </w:pPr>
          </w:p>
        </w:tc>
      </w:tr>
      <w:tr>
        <w:trPr>
          <w:trHeight w:val="192"/>
        </w:trPr>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9"/>
        </w:trPr>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2,120</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(593)</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3,326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9"/>
        </w:trPr>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(1,342)</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(1,377)</w:t>
            </w:r>
          </w:p>
        </w:tc>
        <w:tc>
          <w:tcPr>
            <w:tcW w:w="660" w:type="dxa"/>
            <w:vAlign w:val="bottom"/>
            <w:tcBorders>
              <w:bottom w:val="single" w:sz="8" w:color="auto"/>
            </w:tcBorders>
          </w:tcPr>
          <w:p>
            <w:pPr>
              <w:spacing w:after="0"/>
              <w:rPr>
                <w:sz w:val="15"/>
                <w:szCs w:val="15"/>
                <w:color w:val="auto"/>
              </w:rPr>
            </w:pPr>
          </w:p>
        </w:tc>
      </w:tr>
      <w:tr>
        <w:trPr>
          <w:trHeight w:val="187"/>
        </w:trPr>
        <w:tc>
          <w:tcPr>
            <w:tcW w:w="380" w:type="dxa"/>
            <w:vAlign w:val="bottom"/>
          </w:tcPr>
          <w:p>
            <w:pPr>
              <w:spacing w:after="0"/>
              <w:rPr>
                <w:sz w:val="16"/>
                <w:szCs w:val="16"/>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b w:val="1"/>
                <w:bCs w:val="1"/>
                <w:color w:val="auto"/>
              </w:rPr>
              <w:t>(2,307)</w:t>
            </w:r>
          </w:p>
        </w:tc>
        <w:tc>
          <w:tcPr>
            <w:tcW w:w="3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(17,820)</w:t>
            </w:r>
          </w:p>
        </w:tc>
        <w:tc>
          <w:tcPr>
            <w:tcW w:w="400" w:type="dxa"/>
            <w:vAlign w:val="bottom"/>
          </w:tcPr>
          <w:p>
            <w:pPr>
              <w:spacing w:after="0"/>
              <w:rPr>
                <w:sz w:val="16"/>
                <w:szCs w:val="16"/>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39,515</w:t>
            </w:r>
          </w:p>
        </w:tc>
        <w:tc>
          <w:tcPr>
            <w:tcW w:w="660" w:type="dxa"/>
            <w:vAlign w:val="bottom"/>
          </w:tcPr>
          <w:p>
            <w:pPr>
              <w:spacing w:after="0"/>
              <w:rPr>
                <w:sz w:val="16"/>
                <w:szCs w:val="16"/>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(2,638)</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9,100</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(16,031)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9"/>
        </w:trPr>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(4,945)</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(8,720)</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23,484</w:t>
            </w:r>
          </w:p>
        </w:tc>
        <w:tc>
          <w:tcPr>
            <w:tcW w:w="660" w:type="dxa"/>
            <w:vAlign w:val="bottom"/>
            <w:tcBorders>
              <w:bottom w:val="single" w:sz="8" w:color="auto"/>
            </w:tcBorders>
          </w:tcPr>
          <w:p>
            <w:pPr>
              <w:spacing w:after="0"/>
              <w:rPr>
                <w:sz w:val="15"/>
                <w:szCs w:val="15"/>
                <w:color w:val="auto"/>
              </w:rPr>
            </w:pPr>
          </w:p>
        </w:tc>
      </w:tr>
      <w:tr>
        <w:trPr>
          <w:trHeight w:val="187"/>
        </w:trPr>
        <w:tc>
          <w:tcPr>
            <w:tcW w:w="380" w:type="dxa"/>
            <w:vAlign w:val="bottom"/>
          </w:tcPr>
          <w:p>
            <w:pPr>
              <w:spacing w:after="0"/>
              <w:rPr>
                <w:sz w:val="16"/>
                <w:szCs w:val="16"/>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b w:val="1"/>
                <w:bCs w:val="1"/>
                <w:color w:val="auto"/>
              </w:rPr>
              <w:t>47,102</w:t>
            </w:r>
          </w:p>
        </w:tc>
        <w:tc>
          <w:tcPr>
            <w:tcW w:w="3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37,043</w:t>
            </w:r>
          </w:p>
        </w:tc>
        <w:tc>
          <w:tcPr>
            <w:tcW w:w="400" w:type="dxa"/>
            <w:vAlign w:val="bottom"/>
          </w:tcPr>
          <w:p>
            <w:pPr>
              <w:spacing w:after="0"/>
              <w:rPr>
                <w:sz w:val="16"/>
                <w:szCs w:val="16"/>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107,099</w:t>
            </w:r>
          </w:p>
        </w:tc>
        <w:tc>
          <w:tcPr>
            <w:tcW w:w="660" w:type="dxa"/>
            <w:vAlign w:val="bottom"/>
          </w:tcPr>
          <w:p>
            <w:pPr>
              <w:spacing w:after="0"/>
              <w:rPr>
                <w:sz w:val="16"/>
                <w:szCs w:val="16"/>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(17)</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(107)</w:t>
            </w:r>
          </w:p>
        </w:tc>
        <w:tc>
          <w:tcPr>
            <w:tcW w:w="660" w:type="dxa"/>
            <w:vAlign w:val="bottom"/>
            <w:tcBorders>
              <w:bottom w:val="single" w:sz="8" w:color="auto"/>
            </w:tcBorders>
          </w:tcPr>
          <w:p>
            <w:pPr>
              <w:spacing w:after="0"/>
              <w:rPr>
                <w:sz w:val="16"/>
                <w:szCs w:val="16"/>
                <w:color w:val="auto"/>
              </w:rPr>
            </w:pPr>
          </w:p>
        </w:tc>
      </w:tr>
      <w:tr>
        <w:trPr>
          <w:trHeight w:val="365"/>
        </w:trPr>
        <w:tc>
          <w:tcPr>
            <w:tcW w:w="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47,085</w:t>
            </w:r>
          </w:p>
        </w:tc>
        <w:tc>
          <w:tcPr>
            <w:tcW w:w="3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37,040</w:t>
            </w:r>
          </w:p>
        </w:tc>
        <w:tc>
          <w:tcPr>
            <w:tcW w:w="4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106,992</w:t>
            </w:r>
          </w:p>
        </w:tc>
        <w:tc>
          <w:tcPr>
            <w:tcW w:w="6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557" w:lineRule="exact"/>
        <w:rPr>
          <w:sz w:val="20"/>
          <w:szCs w:val="20"/>
          <w:color w:val="auto"/>
        </w:rPr>
      </w:pPr>
    </w:p>
    <w:p>
      <w:pPr>
        <w:sectPr>
          <w:pgSz w:w="11900" w:h="16838" w:orient="portrait"/>
          <w:cols w:equalWidth="0" w:num="2">
            <w:col w:w="5940" w:space="720"/>
            <w:col w:w="4280"/>
          </w:cols>
          <w:pgMar w:left="820" w:top="528" w:right="139" w:bottom="1440" w:gutter="0" w:footer="0" w:header="0"/>
          <w:type w:val="continuous"/>
        </w:sect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type w:val="continuous"/>
        </w:sectPr>
      </w:pPr>
    </w:p>
    <w:bookmarkStart w:id="4" w:name="page5"/>
    <w:bookmarkEnd w:id="4"/>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319"/>
              <w:spacing w:after="0"/>
              <w:rPr>
                <w:sz w:val="20"/>
                <w:szCs w:val="20"/>
                <w:color w:val="auto"/>
              </w:rPr>
            </w:pPr>
            <w:r>
              <w:rPr>
                <w:rFonts w:ascii="Arial" w:cs="Arial" w:eastAsia="Arial" w:hAnsi="Arial"/>
                <w:sz w:val="12"/>
                <w:szCs w:val="12"/>
                <w:b w:val="1"/>
                <w:bCs w:val="1"/>
                <w:color w:val="auto"/>
                <w:w w:val="99"/>
              </w:rPr>
              <w:t>June 30,</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75"/>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59"/>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77"/>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40" w:type="dxa"/>
            <w:vAlign w:val="bottom"/>
          </w:tcPr>
          <w:p>
            <w:pPr>
              <w:spacing w:after="0"/>
              <w:rPr>
                <w:sz w:val="15"/>
                <w:szCs w:val="15"/>
                <w:color w:val="auto"/>
              </w:rPr>
            </w:pPr>
          </w:p>
        </w:tc>
        <w:tc>
          <w:tcPr>
            <w:tcW w:w="1400" w:type="dxa"/>
            <w:vAlign w:val="bottom"/>
          </w:tcPr>
          <w:p>
            <w:pPr>
              <w:jc w:val="center"/>
              <w:ind w:right="319"/>
              <w:spacing w:after="0"/>
              <w:rPr>
                <w:sz w:val="20"/>
                <w:szCs w:val="20"/>
                <w:color w:val="auto"/>
              </w:rPr>
            </w:pPr>
            <w:r>
              <w:rPr>
                <w:rFonts w:ascii="Arial" w:cs="Arial" w:eastAsia="Arial" w:hAnsi="Arial"/>
                <w:sz w:val="12"/>
                <w:szCs w:val="12"/>
                <w:b w:val="1"/>
                <w:bCs w:val="1"/>
                <w:color w:val="auto"/>
              </w:rPr>
              <w:t>(Unaudited)</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vMerge w:val="restart"/>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4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264,119</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7"/>
                <w:szCs w:val="17"/>
                <w:color w:val="auto"/>
              </w:rPr>
              <w:t>Cash and cash equivalents</w:t>
            </w:r>
          </w:p>
        </w:tc>
        <w:tc>
          <w:tcPr>
            <w:tcW w:w="2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40" w:type="dxa"/>
            <w:vAlign w:val="bottom"/>
          </w:tcPr>
          <w:p>
            <w:pPr>
              <w:jc w:val="right"/>
              <w:spacing w:after="0" w:line="166"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19,997</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Investments in marketable equity securities and other investments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423,945</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Accounts receivable,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355,753</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Income taxes receivable</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12,343</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3,212</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6,673</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78,716</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58"/>
        </w:trPr>
        <w:tc>
          <w:tcPr>
            <w:tcW w:w="8240" w:type="dxa"/>
            <w:vAlign w:val="bottom"/>
          </w:tcPr>
          <w:p>
            <w:pPr>
              <w:ind w:left="460"/>
              <w:spacing w:after="0" w:line="158" w:lineRule="exact"/>
              <w:rPr>
                <w:sz w:val="20"/>
                <w:szCs w:val="20"/>
                <w:color w:val="auto"/>
              </w:rPr>
            </w:pPr>
            <w:r>
              <w:rPr>
                <w:rFonts w:ascii="Arial" w:cs="Arial" w:eastAsia="Arial" w:hAnsi="Arial"/>
                <w:sz w:val="17"/>
                <w:szCs w:val="17"/>
                <w:b w:val="1"/>
                <w:bCs w:val="1"/>
                <w:color w:val="auto"/>
              </w:rPr>
              <w:t>Total Current Assets</w:t>
            </w:r>
          </w:p>
        </w:tc>
        <w:tc>
          <w:tcPr>
            <w:tcW w:w="240" w:type="dxa"/>
            <w:vAlign w:val="bottom"/>
          </w:tcPr>
          <w:p>
            <w:pPr>
              <w:spacing w:after="0"/>
              <w:rPr>
                <w:sz w:val="13"/>
                <w:szCs w:val="13"/>
                <w:color w:val="auto"/>
              </w:rPr>
            </w:pPr>
          </w:p>
        </w:tc>
        <w:tc>
          <w:tcPr>
            <w:tcW w:w="140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1,164,758</w:t>
            </w:r>
          </w:p>
        </w:tc>
        <w:tc>
          <w:tcPr>
            <w:tcW w:w="3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Property, Plant and Equipment,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1,117,421</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Investments in Affiliates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21,721</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Goodwill,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1,398,503</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Indefinite-Lived Intangible Assets,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530,502</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Amortized Intangible Assets, Net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50,787</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Prepaid Pension Cost</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537,467</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Deferred Charges and Other Assets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56,443</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Total Assets</w:t>
            </w:r>
          </w:p>
        </w:tc>
        <w:tc>
          <w:tcPr>
            <w:tcW w:w="24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4,877,602</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4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vMerge w:val="restart"/>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4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492,244</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7"/>
                <w:szCs w:val="17"/>
                <w:color w:val="auto"/>
              </w:rPr>
              <w:t>Accounts payable and accrued liabilities</w:t>
            </w:r>
          </w:p>
        </w:tc>
        <w:tc>
          <w:tcPr>
            <w:tcW w:w="2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40" w:type="dxa"/>
            <w:vAlign w:val="bottom"/>
          </w:tcPr>
          <w:p>
            <w:pPr>
              <w:jc w:val="right"/>
              <w:spacing w:after="0" w:line="166"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360,492</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Dividends declared</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18,461</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Short-term borrowings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3,173</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58"/>
        </w:trPr>
        <w:tc>
          <w:tcPr>
            <w:tcW w:w="8240" w:type="dxa"/>
            <w:vAlign w:val="bottom"/>
          </w:tcPr>
          <w:p>
            <w:pPr>
              <w:ind w:left="460"/>
              <w:spacing w:after="0" w:line="158" w:lineRule="exact"/>
              <w:rPr>
                <w:sz w:val="20"/>
                <w:szCs w:val="20"/>
                <w:color w:val="auto"/>
              </w:rPr>
            </w:pPr>
            <w:r>
              <w:rPr>
                <w:rFonts w:ascii="Arial" w:cs="Arial" w:eastAsia="Arial" w:hAnsi="Arial"/>
                <w:sz w:val="17"/>
                <w:szCs w:val="17"/>
                <w:b w:val="1"/>
                <w:bCs w:val="1"/>
                <w:color w:val="auto"/>
              </w:rPr>
              <w:t>Total Current Liabilities</w:t>
            </w:r>
          </w:p>
        </w:tc>
        <w:tc>
          <w:tcPr>
            <w:tcW w:w="240" w:type="dxa"/>
            <w:vAlign w:val="bottom"/>
          </w:tcPr>
          <w:p>
            <w:pPr>
              <w:spacing w:after="0"/>
              <w:rPr>
                <w:sz w:val="13"/>
                <w:szCs w:val="13"/>
                <w:color w:val="auto"/>
              </w:rPr>
            </w:pPr>
          </w:p>
        </w:tc>
        <w:tc>
          <w:tcPr>
            <w:tcW w:w="140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874,370</w:t>
            </w:r>
          </w:p>
        </w:tc>
        <w:tc>
          <w:tcPr>
            <w:tcW w:w="3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Postretirement Benefits Other Than Pensions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69,440</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Accrued Compensation and Related Benefits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224,086</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Other Liabilities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112,108</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6"/>
        </w:trPr>
        <w:tc>
          <w:tcPr>
            <w:tcW w:w="8240" w:type="dxa"/>
            <w:vAlign w:val="bottom"/>
          </w:tcPr>
          <w:p>
            <w:pPr>
              <w:spacing w:after="0" w:line="186" w:lineRule="exact"/>
              <w:rPr>
                <w:sz w:val="20"/>
                <w:szCs w:val="20"/>
                <w:color w:val="auto"/>
              </w:rPr>
            </w:pPr>
            <w:r>
              <w:rPr>
                <w:rFonts w:ascii="Arial" w:cs="Arial" w:eastAsia="Arial" w:hAnsi="Arial"/>
                <w:sz w:val="17"/>
                <w:szCs w:val="17"/>
                <w:b w:val="1"/>
                <w:bCs w:val="1"/>
                <w:color w:val="auto"/>
              </w:rPr>
              <w:t>Deferred Income Taxes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542,241</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Long-Term Debt</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452,569</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Total Liabilities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2,274,814</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Redeemable Noncontrolling Interest</w:t>
            </w:r>
          </w:p>
        </w:tc>
        <w:tc>
          <w:tcPr>
            <w:tcW w:w="240" w:type="dxa"/>
            <w:vAlign w:val="bottom"/>
          </w:tcPr>
          <w:p>
            <w:pPr>
              <w:spacing w:after="0"/>
              <w:rPr>
                <w:sz w:val="13"/>
                <w:szCs w:val="13"/>
                <w:color w:val="auto"/>
              </w:rPr>
            </w:pPr>
          </w:p>
        </w:tc>
        <w:tc>
          <w:tcPr>
            <w:tcW w:w="140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6,821</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Redeemable Preferred Stock</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11,096</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b w:val="1"/>
                <w:bCs w:val="1"/>
                <w:color w:val="auto"/>
              </w:rPr>
              <w:t>Preferred Stock</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spacing w:after="0" w:line="178" w:lineRule="exact"/>
              <w:rPr>
                <w:sz w:val="20"/>
                <w:szCs w:val="20"/>
                <w:color w:val="auto"/>
              </w:rPr>
            </w:pPr>
            <w:r>
              <w:rPr>
                <w:rFonts w:ascii="Arial" w:cs="Arial" w:eastAsia="Arial" w:hAnsi="Arial"/>
                <w:sz w:val="17"/>
                <w:szCs w:val="17"/>
                <w:b w:val="1"/>
                <w:bCs w:val="1"/>
                <w:color w:val="auto"/>
              </w:rPr>
              <w:t>Common Stockholders’ Equity</w:t>
            </w:r>
          </w:p>
        </w:tc>
        <w:tc>
          <w:tcPr>
            <w:tcW w:w="240" w:type="dxa"/>
            <w:vAlign w:val="bottom"/>
          </w:tcPr>
          <w:p>
            <w:pPr>
              <w:spacing w:after="0"/>
              <w:rPr>
                <w:sz w:val="15"/>
                <w:szCs w:val="15"/>
                <w:color w:val="auto"/>
              </w:rPr>
            </w:pPr>
          </w:p>
        </w:tc>
        <w:tc>
          <w:tcPr>
            <w:tcW w:w="14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20,000</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7"/>
                <w:szCs w:val="17"/>
                <w:color w:val="auto"/>
              </w:rPr>
              <w:t>Common stock</w:t>
            </w:r>
          </w:p>
        </w:tc>
        <w:tc>
          <w:tcPr>
            <w:tcW w:w="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Capital in excess of par value</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245,393</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4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Arial" w:cs="Arial" w:eastAsia="Arial" w:hAnsi="Arial"/>
                <w:sz w:val="17"/>
                <w:szCs w:val="17"/>
                <w:b w:val="1"/>
                <w:bCs w:val="1"/>
                <w:color w:val="auto"/>
              </w:rPr>
              <w:t>4,589,287</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186"/>
        </w:trPr>
        <w:tc>
          <w:tcPr>
            <w:tcW w:w="8240" w:type="dxa"/>
            <w:vAlign w:val="bottom"/>
          </w:tcPr>
          <w:p>
            <w:pPr>
              <w:ind w:left="220"/>
              <w:spacing w:after="0" w:line="186" w:lineRule="exact"/>
              <w:rPr>
                <w:sz w:val="20"/>
                <w:szCs w:val="20"/>
                <w:color w:val="auto"/>
              </w:rPr>
            </w:pPr>
            <w:r>
              <w:rPr>
                <w:rFonts w:ascii="Arial" w:cs="Arial" w:eastAsia="Arial" w:hAnsi="Arial"/>
                <w:sz w:val="17"/>
                <w:szCs w:val="17"/>
                <w:color w:val="auto"/>
              </w:rPr>
              <w:t>Accumulated other comprehensive income, net of tax</w:t>
            </w:r>
          </w:p>
        </w:tc>
        <w:tc>
          <w:tcPr>
            <w:tcW w:w="240" w:type="dxa"/>
            <w:vAlign w:val="bottom"/>
          </w:tcPr>
          <w:p>
            <w:pPr>
              <w:spacing w:after="0"/>
              <w:rPr>
                <w:sz w:val="16"/>
                <w:szCs w:val="16"/>
                <w:color w:val="auto"/>
              </w:rPr>
            </w:pPr>
          </w:p>
        </w:tc>
        <w:tc>
          <w:tcPr>
            <w:tcW w:w="140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20,771</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460"/>
              <w:spacing w:after="0" w:line="166" w:lineRule="exact"/>
              <w:rPr>
                <w:sz w:val="20"/>
                <w:szCs w:val="20"/>
                <w:color w:val="auto"/>
              </w:rPr>
            </w:pPr>
            <w:r>
              <w:rPr>
                <w:rFonts w:ascii="Arial" w:cs="Arial" w:eastAsia="Arial" w:hAnsi="Arial"/>
                <w:sz w:val="17"/>
                <w:szCs w:val="17"/>
                <w:color w:val="auto"/>
              </w:rPr>
              <w:t>Cumulative foreign currency translation adjustment</w:t>
            </w:r>
          </w:p>
        </w:tc>
        <w:tc>
          <w:tcPr>
            <w:tcW w:w="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6"/>
        </w:trPr>
        <w:tc>
          <w:tcPr>
            <w:tcW w:w="8240" w:type="dxa"/>
            <w:vAlign w:val="bottom"/>
          </w:tcPr>
          <w:p>
            <w:pPr>
              <w:ind w:left="460"/>
              <w:spacing w:after="0" w:line="186" w:lineRule="exact"/>
              <w:rPr>
                <w:sz w:val="20"/>
                <w:szCs w:val="20"/>
                <w:color w:val="auto"/>
              </w:rPr>
            </w:pPr>
            <w:r>
              <w:rPr>
                <w:rFonts w:ascii="Arial" w:cs="Arial" w:eastAsia="Arial" w:hAnsi="Arial"/>
                <w:sz w:val="17"/>
                <w:szCs w:val="17"/>
                <w:color w:val="auto"/>
              </w:rPr>
              <w:t>Unrealized gain on available-for-sale securities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103,238</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6"/>
        </w:trPr>
        <w:tc>
          <w:tcPr>
            <w:tcW w:w="8240" w:type="dxa"/>
            <w:vAlign w:val="bottom"/>
          </w:tcPr>
          <w:p>
            <w:pPr>
              <w:ind w:left="460"/>
              <w:spacing w:after="0" w:line="186" w:lineRule="exact"/>
              <w:rPr>
                <w:sz w:val="20"/>
                <w:szCs w:val="20"/>
                <w:color w:val="auto"/>
              </w:rPr>
            </w:pPr>
            <w:r>
              <w:rPr>
                <w:rFonts w:ascii="Arial" w:cs="Arial" w:eastAsia="Arial" w:hAnsi="Arial"/>
                <w:sz w:val="17"/>
                <w:szCs w:val="17"/>
                <w:color w:val="auto"/>
              </w:rPr>
              <w:t>Unrealized gain on pensions and other postretirement plans</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65,621</w:t>
            </w:r>
          </w:p>
        </w:tc>
        <w:tc>
          <w:tcPr>
            <w:tcW w:w="34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6"/>
        </w:trPr>
        <w:tc>
          <w:tcPr>
            <w:tcW w:w="8240" w:type="dxa"/>
            <w:vAlign w:val="bottom"/>
          </w:tcPr>
          <w:p>
            <w:pPr>
              <w:ind w:left="460"/>
              <w:spacing w:after="0" w:line="186" w:lineRule="exact"/>
              <w:rPr>
                <w:sz w:val="20"/>
                <w:szCs w:val="20"/>
                <w:color w:val="auto"/>
              </w:rPr>
            </w:pPr>
            <w:r>
              <w:rPr>
                <w:rFonts w:ascii="Arial" w:cs="Arial" w:eastAsia="Arial" w:hAnsi="Arial"/>
                <w:sz w:val="17"/>
                <w:szCs w:val="17"/>
                <w:color w:val="auto"/>
              </w:rPr>
              <w:t>Cash flow hedge</w:t>
            </w:r>
          </w:p>
        </w:tc>
        <w:tc>
          <w:tcPr>
            <w:tcW w:w="240" w:type="dxa"/>
            <w:vAlign w:val="bottom"/>
          </w:tcPr>
          <w:p>
            <w:pPr>
              <w:spacing w:after="0"/>
              <w:rPr>
                <w:sz w:val="16"/>
                <w:szCs w:val="16"/>
                <w:color w:val="auto"/>
              </w:rPr>
            </w:pPr>
          </w:p>
        </w:tc>
        <w:tc>
          <w:tcPr>
            <w:tcW w:w="140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(817)</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7"/>
                <w:szCs w:val="17"/>
                <w:color w:val="auto"/>
              </w:rPr>
              <w:t>Cost of Class B common stock held in treasury</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(2,458,622)</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line="179" w:lineRule="exact"/>
              <w:rPr>
                <w:sz w:val="20"/>
                <w:szCs w:val="20"/>
                <w:color w:val="auto"/>
              </w:rPr>
            </w:pPr>
            <w:r>
              <w:rPr>
                <w:rFonts w:ascii="Arial" w:cs="Arial" w:eastAsia="Arial" w:hAnsi="Arial"/>
                <w:sz w:val="17"/>
                <w:szCs w:val="17"/>
                <w:b w:val="1"/>
                <w:bCs w:val="1"/>
                <w:color w:val="auto"/>
              </w:rPr>
              <w:t>Total Equity</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2,584,871</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179"/>
        </w:trPr>
        <w:tc>
          <w:tcPr>
            <w:tcW w:w="8240" w:type="dxa"/>
            <w:vAlign w:val="bottom"/>
          </w:tcPr>
          <w:p>
            <w:pPr>
              <w:ind w:left="700"/>
              <w:spacing w:after="0" w:line="179" w:lineRule="exact"/>
              <w:rPr>
                <w:sz w:val="20"/>
                <w:szCs w:val="20"/>
                <w:color w:val="auto"/>
              </w:rPr>
            </w:pPr>
            <w:r>
              <w:rPr>
                <w:rFonts w:ascii="Arial" w:cs="Arial" w:eastAsia="Arial" w:hAnsi="Arial"/>
                <w:sz w:val="17"/>
                <w:szCs w:val="17"/>
                <w:b w:val="1"/>
                <w:bCs w:val="1"/>
                <w:color w:val="auto"/>
              </w:rPr>
              <w:t>Total Liabilities and Equity</w:t>
            </w:r>
          </w:p>
        </w:tc>
        <w:tc>
          <w:tcPr>
            <w:tcW w:w="24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4,877,602</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5" w:name="page6"/>
    <w:bookmarkEnd w:id="5"/>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Six Months Ended</w:t>
            </w:r>
          </w:p>
        </w:tc>
      </w:tr>
      <w:tr>
        <w:trPr>
          <w:trHeight w:val="177"/>
        </w:trPr>
        <w:tc>
          <w:tcPr>
            <w:tcW w:w="8460" w:type="dxa"/>
            <w:vAlign w:val="bottom"/>
          </w:tcPr>
          <w:p>
            <w:pPr>
              <w:spacing w:after="0"/>
              <w:rPr>
                <w:sz w:val="15"/>
                <w:szCs w:val="15"/>
                <w:color w:val="auto"/>
              </w:rPr>
            </w:pPr>
          </w:p>
        </w:tc>
        <w:tc>
          <w:tcPr>
            <w:tcW w:w="940" w:type="dxa"/>
            <w:vAlign w:val="bottom"/>
          </w:tcPr>
          <w:p>
            <w:pPr>
              <w:jc w:val="center"/>
              <w:ind w:left="378"/>
              <w:spacing w:after="0"/>
              <w:rPr>
                <w:sz w:val="20"/>
                <w:szCs w:val="20"/>
                <w:color w:val="auto"/>
              </w:rPr>
            </w:pPr>
            <w:r>
              <w:rPr>
                <w:rFonts w:ascii="Arial" w:cs="Arial" w:eastAsia="Arial" w:hAnsi="Arial"/>
                <w:sz w:val="12"/>
                <w:szCs w:val="12"/>
                <w:b w:val="1"/>
                <w:bCs w:val="1"/>
                <w:color w:val="auto"/>
              </w:rPr>
              <w:t>June 30,</w:t>
            </w:r>
          </w:p>
        </w:tc>
        <w:tc>
          <w:tcPr>
            <w:tcW w:w="1540" w:type="dxa"/>
            <w:vAlign w:val="bottom"/>
          </w:tcPr>
          <w:p>
            <w:pPr>
              <w:jc w:val="center"/>
              <w:ind w:left="1078"/>
              <w:spacing w:after="0"/>
              <w:rPr>
                <w:sz w:val="20"/>
                <w:szCs w:val="20"/>
                <w:color w:val="auto"/>
              </w:rPr>
            </w:pPr>
            <w:r>
              <w:rPr>
                <w:rFonts w:ascii="Arial" w:cs="Arial" w:eastAsia="Arial" w:hAnsi="Arial"/>
                <w:sz w:val="12"/>
                <w:szCs w:val="12"/>
                <w:color w:val="auto"/>
              </w:rPr>
              <w:t>July 3,</w:t>
            </w:r>
          </w:p>
        </w:tc>
      </w:tr>
      <w:tr>
        <w:trPr>
          <w:trHeight w:val="186"/>
        </w:trPr>
        <w:tc>
          <w:tcPr>
            <w:tcW w:w="8460" w:type="dxa"/>
            <w:vAlign w:val="bottom"/>
          </w:tcPr>
          <w:p>
            <w:pPr>
              <w:spacing w:after="0"/>
              <w:rPr>
                <w:sz w:val="20"/>
                <w:szCs w:val="20"/>
                <w:color w:val="auto"/>
              </w:rPr>
            </w:pPr>
            <w:r>
              <w:rPr>
                <w:rFonts w:ascii="Arial" w:cs="Arial" w:eastAsia="Arial" w:hAnsi="Arial"/>
                <w:sz w:val="12"/>
                <w:szCs w:val="12"/>
                <w:color w:val="auto"/>
              </w:rPr>
              <w:t>(In thousands)</w:t>
            </w:r>
          </w:p>
        </w:tc>
        <w:tc>
          <w:tcPr>
            <w:tcW w:w="940" w:type="dxa"/>
            <w:vAlign w:val="bottom"/>
          </w:tcPr>
          <w:p>
            <w:pPr>
              <w:jc w:val="right"/>
              <w:ind w:right="78"/>
              <w:spacing w:after="0"/>
              <w:rPr>
                <w:sz w:val="20"/>
                <w:szCs w:val="20"/>
                <w:color w:val="auto"/>
              </w:rPr>
            </w:pPr>
            <w:r>
              <w:rPr>
                <w:rFonts w:ascii="Arial" w:cs="Arial" w:eastAsia="Arial" w:hAnsi="Arial"/>
                <w:sz w:val="12"/>
                <w:szCs w:val="12"/>
                <w:b w:val="1"/>
                <w:bCs w:val="1"/>
                <w:color w:val="auto"/>
              </w:rPr>
              <w:t>2012</w:t>
            </w:r>
          </w:p>
        </w:tc>
        <w:tc>
          <w:tcPr>
            <w:tcW w:w="1540" w:type="dxa"/>
            <w:vAlign w:val="bottom"/>
          </w:tcPr>
          <w:p>
            <w:pPr>
              <w:jc w:val="right"/>
              <w:ind w:right="18"/>
              <w:spacing w:after="0"/>
              <w:rPr>
                <w:sz w:val="20"/>
                <w:szCs w:val="20"/>
                <w:color w:val="auto"/>
              </w:rPr>
            </w:pPr>
            <w:r>
              <w:rPr>
                <w:rFonts w:ascii="Arial" w:cs="Arial" w:eastAsia="Arial" w:hAnsi="Arial"/>
                <w:sz w:val="12"/>
                <w:szCs w:val="12"/>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9532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p>
      <w:pPr>
        <w:spacing w:after="0" w:line="229" w:lineRule="auto"/>
        <w:rPr>
          <w:sz w:val="20"/>
          <w:szCs w:val="20"/>
          <w:color w:val="auto"/>
        </w:rPr>
      </w:pPr>
      <w:r>
        <w:rPr>
          <w:rFonts w:ascii="Arial" w:cs="Arial" w:eastAsia="Arial" w:hAnsi="Arial"/>
          <w:sz w:val="17"/>
          <w:szCs w:val="17"/>
          <w:b w:val="1"/>
          <w:bCs w:val="1"/>
          <w:color w:val="auto"/>
        </w:rPr>
        <w:t>Cash Flows from Operating Activities:</w:t>
      </w:r>
    </w:p>
    <w:p>
      <w:pPr>
        <w:spacing w:after="0" w:line="228" w:lineRule="auto"/>
        <w:rPr>
          <w:sz w:val="20"/>
          <w:szCs w:val="20"/>
          <w:color w:val="auto"/>
        </w:rPr>
      </w:pPr>
      <w:r>
        <w:rPr>
          <w:rFonts w:ascii="Arial" w:cs="Arial" w:eastAsia="Arial" w:hAnsi="Arial"/>
          <w:sz w:val="17"/>
          <w:szCs w:val="17"/>
          <w:b w:val="1"/>
          <w:bCs w:val="1"/>
          <w:color w:val="auto"/>
        </w:rPr>
        <w:t>Net Income</w:t>
      </w:r>
    </w:p>
    <w:p>
      <w:pPr>
        <w:spacing w:after="0" w:line="229" w:lineRule="auto"/>
        <w:rPr>
          <w:sz w:val="20"/>
          <w:szCs w:val="20"/>
          <w:color w:val="auto"/>
        </w:rPr>
      </w:pPr>
      <w:r>
        <w:rPr>
          <w:rFonts w:ascii="Arial" w:cs="Arial" w:eastAsia="Arial" w:hAnsi="Arial"/>
          <w:sz w:val="17"/>
          <w:szCs w:val="17"/>
          <w:color w:val="auto"/>
        </w:rPr>
        <w:t>Adjustments to reconcile net income to net cash provided by operating activities:</w:t>
      </w:r>
    </w:p>
    <w:p>
      <w:pPr>
        <w:ind w:left="220"/>
        <w:spacing w:after="0" w:line="228" w:lineRule="auto"/>
        <w:rPr>
          <w:sz w:val="20"/>
          <w:szCs w:val="20"/>
          <w:color w:val="auto"/>
        </w:rPr>
      </w:pPr>
      <w:r>
        <w:rPr>
          <w:rFonts w:ascii="Arial" w:cs="Arial" w:eastAsia="Arial" w:hAnsi="Arial"/>
          <w:sz w:val="17"/>
          <w:szCs w:val="17"/>
          <w:color w:val="auto"/>
        </w:rPr>
        <w:t>Depreciation of property, plant and equipment</w:t>
      </w:r>
    </w:p>
    <w:p>
      <w:pPr>
        <w:ind w:left="220"/>
        <w:spacing w:after="0" w:line="229" w:lineRule="auto"/>
        <w:rPr>
          <w:sz w:val="20"/>
          <w:szCs w:val="20"/>
          <w:color w:val="auto"/>
        </w:rPr>
      </w:pPr>
      <w:r>
        <w:rPr>
          <w:rFonts w:ascii="Arial" w:cs="Arial" w:eastAsia="Arial" w:hAnsi="Arial"/>
          <w:sz w:val="17"/>
          <w:szCs w:val="17"/>
          <w:color w:val="auto"/>
        </w:rPr>
        <w:t>Amortization of intangible assets</w:t>
      </w:r>
    </w:p>
    <w:p>
      <w:pPr>
        <w:ind w:left="220"/>
        <w:spacing w:after="0" w:line="228" w:lineRule="auto"/>
        <w:rPr>
          <w:sz w:val="20"/>
          <w:szCs w:val="20"/>
          <w:color w:val="auto"/>
        </w:rPr>
      </w:pPr>
      <w:r>
        <w:rPr>
          <w:rFonts w:ascii="Arial" w:cs="Arial" w:eastAsia="Arial" w:hAnsi="Arial"/>
          <w:sz w:val="17"/>
          <w:szCs w:val="17"/>
          <w:color w:val="auto"/>
        </w:rPr>
        <w:t>Net pension expense (benefit)</w:t>
      </w:r>
    </w:p>
    <w:p>
      <w:pPr>
        <w:ind w:left="220"/>
        <w:spacing w:after="0" w:line="229" w:lineRule="auto"/>
        <w:rPr>
          <w:sz w:val="20"/>
          <w:szCs w:val="20"/>
          <w:color w:val="auto"/>
        </w:rPr>
      </w:pPr>
      <w:r>
        <w:rPr>
          <w:rFonts w:ascii="Arial" w:cs="Arial" w:eastAsia="Arial" w:hAnsi="Arial"/>
          <w:sz w:val="17"/>
          <w:szCs w:val="17"/>
          <w:color w:val="auto"/>
        </w:rPr>
        <w:t>Early retirement program expense</w:t>
      </w:r>
    </w:p>
    <w:p>
      <w:pPr>
        <w:ind w:left="220"/>
        <w:spacing w:after="0" w:line="228" w:lineRule="auto"/>
        <w:rPr>
          <w:sz w:val="20"/>
          <w:szCs w:val="20"/>
          <w:color w:val="auto"/>
        </w:rPr>
      </w:pPr>
      <w:r>
        <w:rPr>
          <w:rFonts w:ascii="Arial" w:cs="Arial" w:eastAsia="Arial" w:hAnsi="Arial"/>
          <w:sz w:val="17"/>
          <w:szCs w:val="17"/>
          <w:color w:val="auto"/>
        </w:rPr>
        <w:t>Foreign exchange gain</w:t>
      </w:r>
    </w:p>
    <w:p>
      <w:pPr>
        <w:ind w:left="220"/>
        <w:spacing w:after="0" w:line="229" w:lineRule="auto"/>
        <w:rPr>
          <w:sz w:val="20"/>
          <w:szCs w:val="20"/>
          <w:color w:val="auto"/>
        </w:rPr>
      </w:pPr>
      <w:r>
        <w:rPr>
          <w:rFonts w:ascii="Arial" w:cs="Arial" w:eastAsia="Arial" w:hAnsi="Arial"/>
          <w:sz w:val="17"/>
          <w:szCs w:val="17"/>
          <w:color w:val="auto"/>
        </w:rPr>
        <w:t>Net gain on sales of businesses</w:t>
      </w:r>
    </w:p>
    <w:p>
      <w:pPr>
        <w:ind w:left="220" w:right="2540"/>
        <w:spacing w:after="0" w:line="228" w:lineRule="auto"/>
        <w:rPr>
          <w:sz w:val="20"/>
          <w:szCs w:val="20"/>
          <w:color w:val="auto"/>
        </w:rPr>
      </w:pPr>
      <w:r>
        <w:rPr>
          <w:rFonts w:ascii="Arial" w:cs="Arial" w:eastAsia="Arial" w:hAnsi="Arial"/>
          <w:sz w:val="17"/>
          <w:szCs w:val="17"/>
          <w:color w:val="auto"/>
        </w:rPr>
        <w:t>Net (gain) loss on sale or write-down of marketable equity securities Equity in earnings of affiliates, net of distributions (Benefit) provision for deferred income taxes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(gain) loss on sale or write-down of property, plant and equipment and other assets</w:t>
      </w:r>
    </w:p>
    <w:p>
      <w:pPr>
        <w:ind w:left="220"/>
        <w:spacing w:after="0" w:line="231" w:lineRule="auto"/>
        <w:rPr>
          <w:sz w:val="20"/>
          <w:szCs w:val="20"/>
          <w:color w:val="auto"/>
        </w:rPr>
      </w:pPr>
      <w:r>
        <w:rPr>
          <w:rFonts w:ascii="Arial" w:cs="Arial" w:eastAsia="Arial" w:hAnsi="Arial"/>
          <w:sz w:val="17"/>
          <w:szCs w:val="17"/>
          <w:color w:val="auto"/>
        </w:rPr>
        <w:t>Change in assets and liabilities:</w:t>
      </w:r>
    </w:p>
    <w:p>
      <w:pPr>
        <w:ind w:left="460"/>
        <w:spacing w:after="0" w:line="228" w:lineRule="auto"/>
        <w:rPr>
          <w:sz w:val="20"/>
          <w:szCs w:val="20"/>
          <w:color w:val="auto"/>
        </w:rPr>
      </w:pPr>
      <w:r>
        <w:rPr>
          <w:rFonts w:ascii="Arial" w:cs="Arial" w:eastAsia="Arial" w:hAnsi="Arial"/>
          <w:sz w:val="17"/>
          <w:szCs w:val="17"/>
          <w:color w:val="auto"/>
        </w:rPr>
        <w:t>Decrease in accounts receivable, net</w:t>
      </w:r>
    </w:p>
    <w:p>
      <w:pPr>
        <w:ind w:left="460"/>
        <w:spacing w:after="0" w:line="229" w:lineRule="auto"/>
        <w:rPr>
          <w:sz w:val="20"/>
          <w:szCs w:val="20"/>
          <w:color w:val="auto"/>
        </w:rPr>
      </w:pPr>
      <w:r>
        <w:rPr>
          <w:rFonts w:ascii="Arial" w:cs="Arial" w:eastAsia="Arial" w:hAnsi="Arial"/>
          <w:sz w:val="17"/>
          <w:szCs w:val="17"/>
          <w:color w:val="auto"/>
        </w:rPr>
        <w:t>Increase in inventories</w:t>
      </w:r>
    </w:p>
    <w:p>
      <w:pPr>
        <w:ind w:left="460"/>
        <w:spacing w:after="0" w:line="228" w:lineRule="auto"/>
        <w:rPr>
          <w:sz w:val="20"/>
          <w:szCs w:val="20"/>
          <w:color w:val="auto"/>
        </w:rPr>
      </w:pPr>
      <w:r>
        <w:rPr>
          <w:rFonts w:ascii="Arial" w:cs="Arial" w:eastAsia="Arial" w:hAnsi="Arial"/>
          <w:sz w:val="17"/>
          <w:szCs w:val="17"/>
          <w:color w:val="auto"/>
        </w:rPr>
        <w:t>Decrease in accounts payable and accrued liabilities</w:t>
      </w:r>
    </w:p>
    <w:p>
      <w:pPr>
        <w:ind w:left="460"/>
        <w:spacing w:after="0" w:line="229" w:lineRule="auto"/>
        <w:rPr>
          <w:sz w:val="20"/>
          <w:szCs w:val="20"/>
          <w:color w:val="auto"/>
        </w:rPr>
      </w:pPr>
      <w:r>
        <w:rPr>
          <w:rFonts w:ascii="Arial" w:cs="Arial" w:eastAsia="Arial" w:hAnsi="Arial"/>
          <w:sz w:val="17"/>
          <w:szCs w:val="17"/>
          <w:color w:val="auto"/>
        </w:rPr>
        <w:t>Decrease in deferred revenue</w:t>
      </w:r>
    </w:p>
    <w:p>
      <w:pPr>
        <w:ind w:left="460"/>
        <w:spacing w:after="0" w:line="228" w:lineRule="auto"/>
        <w:rPr>
          <w:sz w:val="20"/>
          <w:szCs w:val="20"/>
          <w:color w:val="auto"/>
        </w:rPr>
      </w:pPr>
      <w:r>
        <w:rPr>
          <w:rFonts w:ascii="Arial" w:cs="Arial" w:eastAsia="Arial" w:hAnsi="Arial"/>
          <w:sz w:val="17"/>
          <w:szCs w:val="17"/>
          <w:color w:val="auto"/>
        </w:rPr>
        <w:t>Decrease in income taxes receivable</w:t>
      </w:r>
    </w:p>
    <w:p>
      <w:pPr>
        <w:spacing w:after="0" w:line="1" w:lineRule="exact"/>
        <w:rPr>
          <w:sz w:val="20"/>
          <w:szCs w:val="20"/>
          <w:color w:val="auto"/>
        </w:rPr>
      </w:pPr>
    </w:p>
    <w:p>
      <w:pPr>
        <w:ind w:left="220" w:right="2920" w:firstLine="236"/>
        <w:spacing w:after="0" w:line="235" w:lineRule="auto"/>
        <w:rPr>
          <w:sz w:val="20"/>
          <w:szCs w:val="20"/>
          <w:color w:val="auto"/>
        </w:rPr>
      </w:pPr>
      <w:r>
        <w:rPr>
          <w:rFonts w:ascii="Arial" w:cs="Arial" w:eastAsia="Arial" w:hAnsi="Arial"/>
          <w:sz w:val="17"/>
          <w:szCs w:val="17"/>
          <w:color w:val="auto"/>
        </w:rPr>
        <w:t>Decrease (increase) in other assets and other liabilities, net Other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Purchases of property, plant and equipment</w:t>
      </w:r>
    </w:p>
    <w:p>
      <w:pPr>
        <w:ind w:left="220"/>
        <w:spacing w:after="0"/>
        <w:rPr>
          <w:sz w:val="20"/>
          <w:szCs w:val="20"/>
          <w:color w:val="auto"/>
        </w:rPr>
      </w:pPr>
      <w:r>
        <w:rPr>
          <w:rFonts w:ascii="Arial" w:cs="Arial" w:eastAsia="Arial" w:hAnsi="Arial"/>
          <w:sz w:val="16"/>
          <w:szCs w:val="16"/>
          <w:color w:val="auto"/>
        </w:rPr>
        <w:t>Net proceeds from sales of businesses, property, plant and equipment and other assets</w:t>
      </w:r>
    </w:p>
    <w:p>
      <w:pPr>
        <w:ind w:left="220"/>
        <w:spacing w:after="0" w:line="231" w:lineRule="auto"/>
        <w:rPr>
          <w:sz w:val="20"/>
          <w:szCs w:val="20"/>
          <w:color w:val="auto"/>
        </w:rPr>
      </w:pPr>
      <w:r>
        <w:rPr>
          <w:rFonts w:ascii="Arial" w:cs="Arial" w:eastAsia="Arial" w:hAnsi="Arial"/>
          <w:sz w:val="17"/>
          <w:szCs w:val="17"/>
          <w:color w:val="auto"/>
        </w:rPr>
        <w:t>Purchase of marketable equity securities and other investments</w:t>
      </w:r>
    </w:p>
    <w:p>
      <w:pPr>
        <w:ind w:left="220"/>
        <w:spacing w:after="0" w:line="228" w:lineRule="auto"/>
        <w:rPr>
          <w:sz w:val="20"/>
          <w:szCs w:val="20"/>
          <w:color w:val="auto"/>
        </w:rPr>
      </w:pPr>
      <w:r>
        <w:rPr>
          <w:rFonts w:ascii="Arial" w:cs="Arial" w:eastAsia="Arial" w:hAnsi="Arial"/>
          <w:sz w:val="17"/>
          <w:szCs w:val="17"/>
          <w:color w:val="auto"/>
        </w:rPr>
        <w:t>Investments in certain businesses, net of cash acquired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Repayment of commercial paper, net</w:t>
      </w:r>
    </w:p>
    <w:p>
      <w:pPr>
        <w:ind w:left="220"/>
        <w:spacing w:after="0" w:line="228" w:lineRule="auto"/>
        <w:rPr>
          <w:sz w:val="20"/>
          <w:szCs w:val="20"/>
          <w:color w:val="auto"/>
        </w:rPr>
      </w:pPr>
      <w:r>
        <w:rPr>
          <w:rFonts w:ascii="Arial" w:cs="Arial" w:eastAsia="Arial" w:hAnsi="Arial"/>
          <w:sz w:val="17"/>
          <w:szCs w:val="17"/>
          <w:color w:val="auto"/>
        </w:rPr>
        <w:t>Common shares repurchased</w:t>
      </w:r>
    </w:p>
    <w:p>
      <w:pPr>
        <w:ind w:left="220"/>
        <w:spacing w:after="0" w:line="229" w:lineRule="auto"/>
        <w:rPr>
          <w:sz w:val="20"/>
          <w:szCs w:val="20"/>
          <w:color w:val="auto"/>
        </w:rPr>
      </w:pPr>
      <w:r>
        <w:rPr>
          <w:rFonts w:ascii="Arial" w:cs="Arial" w:eastAsia="Arial" w:hAnsi="Arial"/>
          <w:sz w:val="17"/>
          <w:szCs w:val="17"/>
          <w:color w:val="auto"/>
        </w:rPr>
        <w:t>Dividends paid</w:t>
      </w:r>
    </w:p>
    <w:p>
      <w:pPr>
        <w:ind w:left="22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Cash Used in Financing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Currency Exchange Rate Change</w:t>
      </w:r>
    </w:p>
    <w:p>
      <w:pPr>
        <w:spacing w:after="0" w:line="233" w:lineRule="auto"/>
        <w:rPr>
          <w:sz w:val="20"/>
          <w:szCs w:val="20"/>
          <w:color w:val="auto"/>
        </w:rPr>
      </w:pPr>
      <w:r>
        <w:rPr>
          <w:rFonts w:ascii="Arial" w:cs="Arial" w:eastAsia="Arial" w:hAnsi="Arial"/>
          <w:sz w:val="17"/>
          <w:szCs w:val="17"/>
          <w:b w:val="1"/>
          <w:bCs w:val="1"/>
          <w:color w:val="auto"/>
        </w:rPr>
        <w:t>Net Decrease in Cash and Cash Equivalents</w:t>
      </w:r>
    </w:p>
    <w:p>
      <w:pPr>
        <w:spacing w:after="0"/>
        <w:rPr>
          <w:sz w:val="20"/>
          <w:szCs w:val="20"/>
          <w:color w:val="auto"/>
        </w:rPr>
      </w:pPr>
      <w:r>
        <w:rPr>
          <w:rFonts w:ascii="Arial" w:cs="Arial" w:eastAsia="Arial" w:hAnsi="Arial"/>
          <w:sz w:val="17"/>
          <w:szCs w:val="17"/>
          <w:b w:val="1"/>
          <w:bCs w:val="1"/>
          <w:color w:val="auto"/>
        </w:rPr>
        <w:t>Beginning Cash and Cash Equivalents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Ending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18"/>
        </w:trPr>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ind w:right="117"/>
              <w:spacing w:after="0"/>
              <w:rPr>
                <w:sz w:val="20"/>
                <w:szCs w:val="20"/>
                <w:color w:val="auto"/>
              </w:rPr>
            </w:pPr>
            <w:r>
              <w:rPr>
                <w:rFonts w:ascii="Arial" w:cs="Arial" w:eastAsia="Arial" w:hAnsi="Arial"/>
                <w:sz w:val="17"/>
                <w:szCs w:val="17"/>
                <w:b w:val="1"/>
                <w:bCs w:val="1"/>
                <w:color w:val="auto"/>
              </w:rPr>
              <w:t>83,615</w:t>
            </w:r>
          </w:p>
        </w:tc>
        <w:tc>
          <w:tcPr>
            <w:tcW w:w="5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41"/>
        </w:trPr>
        <w:tc>
          <w:tcPr>
            <w:tcW w:w="340" w:type="dxa"/>
            <w:vAlign w:val="bottom"/>
          </w:tcPr>
          <w:p>
            <w:pPr>
              <w:spacing w:after="0"/>
              <w:rPr>
                <w:sz w:val="24"/>
                <w:szCs w:val="24"/>
                <w:color w:val="auto"/>
              </w:rPr>
            </w:pPr>
          </w:p>
        </w:tc>
        <w:tc>
          <w:tcPr>
            <w:tcW w:w="1040" w:type="dxa"/>
            <w:vAlign w:val="bottom"/>
          </w:tcPr>
          <w:p>
            <w:pPr>
              <w:jc w:val="right"/>
              <w:ind w:right="117"/>
              <w:spacing w:after="0"/>
              <w:rPr>
                <w:sz w:val="20"/>
                <w:szCs w:val="20"/>
                <w:color w:val="auto"/>
              </w:rPr>
            </w:pPr>
            <w:r>
              <w:rPr>
                <w:rFonts w:ascii="Arial" w:cs="Arial" w:eastAsia="Arial" w:hAnsi="Arial"/>
                <w:sz w:val="17"/>
                <w:szCs w:val="17"/>
                <w:b w:val="1"/>
                <w:bCs w:val="1"/>
                <w:color w:val="auto"/>
              </w:rPr>
              <w:t>126,276</w:t>
            </w:r>
          </w:p>
        </w:tc>
        <w:tc>
          <w:tcPr>
            <w:tcW w:w="5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86"/>
        </w:trPr>
        <w:tc>
          <w:tcPr>
            <w:tcW w:w="340" w:type="dxa"/>
            <w:vAlign w:val="bottom"/>
          </w:tcPr>
          <w:p>
            <w:pPr>
              <w:spacing w:after="0"/>
              <w:rPr>
                <w:sz w:val="16"/>
                <w:szCs w:val="16"/>
                <w:color w:val="auto"/>
              </w:rPr>
            </w:pPr>
          </w:p>
        </w:tc>
        <w:tc>
          <w:tcPr>
            <w:tcW w:w="104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8,738</w:t>
            </w:r>
          </w:p>
        </w:tc>
        <w:tc>
          <w:tcPr>
            <w:tcW w:w="540" w:type="dxa"/>
            <w:vAlign w:val="bottom"/>
          </w:tcPr>
          <w:p>
            <w:pPr>
              <w:spacing w:after="0"/>
              <w:rPr>
                <w:sz w:val="16"/>
                <w:szCs w:val="16"/>
                <w:color w:val="auto"/>
              </w:rPr>
            </w:pPr>
          </w:p>
        </w:tc>
        <w:tc>
          <w:tcPr>
            <w:tcW w:w="420" w:type="dxa"/>
            <w:vAlign w:val="bottom"/>
          </w:tcPr>
          <w:p>
            <w:pPr>
              <w:jc w:val="right"/>
              <w:spacing w:after="0" w:line="186" w:lineRule="exact"/>
              <w:rPr>
                <w:sz w:val="20"/>
                <w:szCs w:val="20"/>
                <w:color w:val="auto"/>
              </w:rPr>
            </w:pPr>
            <w:r>
              <w:rPr>
                <w:rFonts w:ascii="Arial" w:cs="Arial" w:eastAsia="Arial" w:hAnsi="Arial"/>
                <w:sz w:val="17"/>
                <w:szCs w:val="17"/>
                <w:color w:val="auto"/>
              </w:rPr>
              <w:t>1</w:t>
            </w:r>
          </w:p>
        </w:tc>
      </w:tr>
      <w:tr>
        <w:trPr>
          <w:trHeight w:val="186"/>
        </w:trPr>
        <w:tc>
          <w:tcPr>
            <w:tcW w:w="340" w:type="dxa"/>
            <w:vAlign w:val="bottom"/>
          </w:tcPr>
          <w:p>
            <w:pPr>
              <w:spacing w:after="0"/>
              <w:rPr>
                <w:sz w:val="16"/>
                <w:szCs w:val="16"/>
                <w:color w:val="auto"/>
              </w:rPr>
            </w:pPr>
          </w:p>
        </w:tc>
        <w:tc>
          <w:tcPr>
            <w:tcW w:w="104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4,634</w:t>
            </w:r>
          </w:p>
        </w:tc>
        <w:tc>
          <w:tcPr>
            <w:tcW w:w="540" w:type="dxa"/>
            <w:vAlign w:val="bottom"/>
          </w:tcPr>
          <w:p>
            <w:pPr>
              <w:spacing w:after="0"/>
              <w:rPr>
                <w:sz w:val="16"/>
                <w:szCs w:val="16"/>
                <w:color w:val="auto"/>
              </w:rPr>
            </w:pPr>
          </w:p>
        </w:tc>
        <w:tc>
          <w:tcPr>
            <w:tcW w:w="42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r>
      <w:tr>
        <w:trPr>
          <w:trHeight w:val="206"/>
        </w:trPr>
        <w:tc>
          <w:tcPr>
            <w:tcW w:w="340" w:type="dxa"/>
            <w:vAlign w:val="bottom"/>
          </w:tcPr>
          <w:p>
            <w:pPr>
              <w:spacing w:after="0"/>
              <w:rPr>
                <w:sz w:val="17"/>
                <w:szCs w:val="17"/>
                <w:color w:val="auto"/>
              </w:rPr>
            </w:pPr>
          </w:p>
        </w:tc>
        <w:tc>
          <w:tcPr>
            <w:tcW w:w="1040" w:type="dxa"/>
            <w:vAlign w:val="bottom"/>
          </w:tcPr>
          <w:p>
            <w:pPr>
              <w:jc w:val="right"/>
              <w:ind w:right="117"/>
              <w:spacing w:after="0"/>
              <w:rPr>
                <w:sz w:val="20"/>
                <w:szCs w:val="20"/>
                <w:color w:val="auto"/>
              </w:rPr>
            </w:pPr>
            <w:r>
              <w:rPr>
                <w:rFonts w:ascii="Arial" w:cs="Arial" w:eastAsia="Arial" w:hAnsi="Arial"/>
                <w:sz w:val="17"/>
                <w:szCs w:val="17"/>
                <w:b w:val="1"/>
                <w:bCs w:val="1"/>
                <w:color w:val="auto"/>
              </w:rPr>
              <w:t>1,022</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ind w:left="2400" w:hanging="1368"/>
        <w:spacing w:after="0" w:line="228" w:lineRule="auto"/>
        <w:tabs>
          <w:tab w:leader="none" w:pos="2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w:t>
      </w:r>
    </w:p>
    <w:p>
      <w:pPr>
        <w:ind w:left="700"/>
        <w:spacing w:after="0" w:line="228" w:lineRule="auto"/>
        <w:rPr>
          <w:rFonts w:ascii="Arial" w:cs="Arial" w:eastAsia="Arial" w:hAnsi="Arial"/>
          <w:sz w:val="17"/>
          <w:szCs w:val="17"/>
          <w:b w:val="1"/>
          <w:bCs w:val="1"/>
          <w:color w:val="auto"/>
        </w:rPr>
      </w:pPr>
      <w:r>
        <w:rPr>
          <w:rFonts w:ascii="Arial" w:cs="Arial" w:eastAsia="Arial" w:hAnsi="Arial"/>
          <w:sz w:val="17"/>
          <w:szCs w:val="17"/>
          <w:b w:val="1"/>
          <w:bCs w:val="1"/>
          <w:color w:val="auto"/>
        </w:rPr>
        <w:t>(26,459)</w:t>
      </w:r>
    </w:p>
    <w:p>
      <w:pPr>
        <w:ind w:left="2400" w:hanging="1460"/>
        <w:spacing w:after="0"/>
        <w:tabs>
          <w:tab w:leader="none" w:pos="240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3</w:t>
      </w:r>
    </w:p>
    <w:p>
      <w:pPr>
        <w:spacing w:after="0" w:line="25" w:lineRule="exact"/>
        <w:rPr>
          <w:rFonts w:ascii="Arial" w:cs="Arial" w:eastAsia="Arial" w:hAnsi="Arial"/>
          <w:sz w:val="14"/>
          <w:szCs w:val="14"/>
          <w:b w:val="1"/>
          <w:bCs w:val="1"/>
          <w:color w:val="auto"/>
        </w:rPr>
      </w:pPr>
    </w:p>
    <w:p>
      <w:pPr>
        <w:ind w:left="800"/>
        <w:spacing w:after="0"/>
        <w:rPr>
          <w:rFonts w:ascii="Arial" w:cs="Arial" w:eastAsia="Arial" w:hAnsi="Arial"/>
          <w:sz w:val="14"/>
          <w:szCs w:val="14"/>
          <w:b w:val="1"/>
          <w:bCs w:val="1"/>
          <w:color w:val="auto"/>
        </w:rPr>
      </w:pPr>
      <w:r>
        <w:rPr>
          <w:rFonts w:ascii="Arial" w:cs="Arial" w:eastAsia="Arial" w:hAnsi="Arial"/>
          <w:sz w:val="17"/>
          <w:szCs w:val="17"/>
          <w:b w:val="1"/>
          <w:bCs w:val="1"/>
          <w:color w:val="auto"/>
        </w:rPr>
        <w:t>(7,202)</w:t>
      </w:r>
      <w:r>
        <w:rPr>
          <w:rFonts w:ascii="Arial" w:cs="Arial" w:eastAsia="Arial" w:hAnsi="Arial"/>
          <w:sz w:val="12"/>
          <w:szCs w:val="12"/>
          <w:color w:val="auto"/>
        </w:rPr>
        <w:t>(</w:t>
      </w:r>
    </w:p>
    <w:p>
      <w:pPr>
        <w:jc w:val="right"/>
        <w:ind w:right="1160"/>
        <w:spacing w:after="0" w:line="229" w:lineRule="auto"/>
        <w:rPr>
          <w:sz w:val="20"/>
          <w:szCs w:val="20"/>
          <w:color w:val="auto"/>
        </w:rPr>
      </w:pPr>
      <w:r>
        <w:rPr>
          <w:rFonts w:ascii="Arial" w:cs="Arial" w:eastAsia="Arial" w:hAnsi="Arial"/>
          <w:sz w:val="17"/>
          <w:szCs w:val="17"/>
          <w:b w:val="1"/>
          <w:bCs w:val="1"/>
          <w:color w:val="auto"/>
        </w:rPr>
        <w:t>(11,698)</w:t>
      </w:r>
    </w:p>
    <w:p>
      <w:pPr>
        <w:jc w:val="right"/>
        <w:ind w:right="1160"/>
        <w:spacing w:after="0"/>
        <w:rPr>
          <w:sz w:val="20"/>
          <w:szCs w:val="20"/>
          <w:color w:val="auto"/>
        </w:rPr>
      </w:pPr>
      <w:r>
        <w:rPr>
          <w:rFonts w:ascii="Arial" w:cs="Arial" w:eastAsia="Arial" w:hAnsi="Arial"/>
          <w:sz w:val="17"/>
          <w:szCs w:val="17"/>
          <w:b w:val="1"/>
          <w:bCs w:val="1"/>
          <w:color w:val="auto"/>
        </w:rPr>
        <w:t>(8,398)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1100" w:type="dxa"/>
            <w:vAlign w:val="bottom"/>
          </w:tcPr>
          <w:p>
            <w:pPr>
              <w:jc w:val="right"/>
              <w:ind w:right="117"/>
              <w:spacing w:after="0"/>
              <w:rPr>
                <w:sz w:val="20"/>
                <w:szCs w:val="20"/>
                <w:color w:val="auto"/>
              </w:rPr>
            </w:pPr>
            <w:r>
              <w:rPr>
                <w:rFonts w:ascii="Arial" w:cs="Arial" w:eastAsia="Arial" w:hAnsi="Arial"/>
                <w:sz w:val="17"/>
                <w:szCs w:val="17"/>
                <w:b w:val="1"/>
                <w:bCs w:val="1"/>
                <w:color w:val="auto"/>
              </w:rPr>
              <w:t>32,736</w:t>
            </w: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(102)</w:t>
            </w:r>
          </w:p>
        </w:tc>
        <w:tc>
          <w:tcPr>
            <w:tcW w:w="50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(24,145)</w:t>
            </w:r>
          </w:p>
        </w:tc>
        <w:tc>
          <w:tcPr>
            <w:tcW w:w="50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Arial" w:cs="Arial" w:eastAsia="Arial" w:hAnsi="Arial"/>
                <w:sz w:val="17"/>
                <w:szCs w:val="17"/>
                <w:color w:val="auto"/>
              </w:rPr>
              <w:t>(4</w:t>
            </w: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(15,702)</w:t>
            </w:r>
          </w:p>
        </w:tc>
        <w:tc>
          <w:tcPr>
            <w:tcW w:w="50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3,823</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2,292</w:t>
            </w:r>
          </w:p>
        </w:tc>
        <w:tc>
          <w:tcPr>
            <w:tcW w:w="50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207"/>
        </w:trPr>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850</w:t>
            </w: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r>
      <w:tr>
        <w:trPr>
          <w:trHeight w:val="179"/>
        </w:trPr>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7"/>
              <w:spacing w:after="0" w:line="179" w:lineRule="exact"/>
              <w:rPr>
                <w:sz w:val="20"/>
                <w:szCs w:val="20"/>
                <w:color w:val="auto"/>
              </w:rPr>
            </w:pPr>
            <w:r>
              <w:rPr>
                <w:rFonts w:ascii="Arial" w:cs="Arial" w:eastAsia="Arial" w:hAnsi="Arial"/>
                <w:sz w:val="17"/>
                <w:szCs w:val="17"/>
                <w:b w:val="1"/>
                <w:bCs w:val="1"/>
                <w:color w:val="auto"/>
              </w:rPr>
              <w:t>169,707</w:t>
            </w: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18</w:t>
            </w:r>
          </w:p>
        </w:tc>
      </w:tr>
      <w:tr>
        <w:trPr>
          <w:trHeight w:val="530"/>
        </w:trPr>
        <w:tc>
          <w:tcPr>
            <w:tcW w:w="420" w:type="dxa"/>
            <w:vAlign w:val="bottom"/>
          </w:tcPr>
          <w:p>
            <w:pPr>
              <w:spacing w:after="0"/>
              <w:rPr>
                <w:sz w:val="24"/>
                <w:szCs w:val="24"/>
                <w:color w:val="auto"/>
              </w:rPr>
            </w:pPr>
          </w:p>
        </w:tc>
        <w:tc>
          <w:tcPr>
            <w:tcW w:w="1100" w:type="dxa"/>
            <w:vAlign w:val="bottom"/>
          </w:tcPr>
          <w:p>
            <w:pPr>
              <w:jc w:val="right"/>
              <w:ind w:right="117"/>
              <w:spacing w:after="0"/>
              <w:rPr>
                <w:sz w:val="20"/>
                <w:szCs w:val="20"/>
                <w:color w:val="auto"/>
              </w:rPr>
            </w:pPr>
            <w:r>
              <w:rPr>
                <w:rFonts w:ascii="Arial" w:cs="Arial" w:eastAsia="Arial" w:hAnsi="Arial"/>
                <w:sz w:val="17"/>
                <w:szCs w:val="17"/>
                <w:b w:val="1"/>
                <w:bCs w:val="1"/>
                <w:color w:val="auto"/>
              </w:rPr>
              <w:t>(97,830)</w:t>
            </w:r>
          </w:p>
        </w:tc>
        <w:tc>
          <w:tcPr>
            <w:tcW w:w="5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73,959</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(46,133)</w:t>
            </w:r>
          </w:p>
        </w:tc>
        <w:tc>
          <w:tcPr>
            <w:tcW w:w="50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(8,971)</w:t>
            </w:r>
          </w:p>
        </w:tc>
        <w:tc>
          <w:tcPr>
            <w:tcW w:w="50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Arial" w:cs="Arial" w:eastAsia="Arial" w:hAnsi="Arial"/>
                <w:sz w:val="17"/>
                <w:szCs w:val="17"/>
                <w:color w:val="auto"/>
              </w:rPr>
              <w:t>(7</w:t>
            </w:r>
          </w:p>
        </w:tc>
      </w:tr>
      <w:tr>
        <w:trPr>
          <w:trHeight w:val="207"/>
        </w:trPr>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1,623</w:t>
            </w: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r>
      <w:tr>
        <w:trPr>
          <w:trHeight w:val="179"/>
        </w:trPr>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7"/>
              <w:spacing w:after="0" w:line="179" w:lineRule="exact"/>
              <w:rPr>
                <w:sz w:val="20"/>
                <w:szCs w:val="20"/>
                <w:color w:val="auto"/>
              </w:rPr>
            </w:pPr>
            <w:r>
              <w:rPr>
                <w:rFonts w:ascii="Arial" w:cs="Arial" w:eastAsia="Arial" w:hAnsi="Arial"/>
                <w:sz w:val="17"/>
                <w:szCs w:val="17"/>
                <w:b w:val="1"/>
                <w:bCs w:val="1"/>
                <w:color w:val="auto"/>
              </w:rPr>
              <w:t>(77,352)</w:t>
            </w: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(16</w:t>
            </w:r>
          </w:p>
        </w:tc>
      </w:tr>
      <w:tr>
        <w:trPr>
          <w:trHeight w:val="530"/>
        </w:trPr>
        <w:tc>
          <w:tcPr>
            <w:tcW w:w="420" w:type="dxa"/>
            <w:vAlign w:val="bottom"/>
          </w:tcPr>
          <w:p>
            <w:pPr>
              <w:spacing w:after="0"/>
              <w:rPr>
                <w:sz w:val="24"/>
                <w:szCs w:val="24"/>
                <w:color w:val="auto"/>
              </w:rPr>
            </w:pPr>
          </w:p>
        </w:tc>
        <w:tc>
          <w:tcPr>
            <w:tcW w:w="1100" w:type="dxa"/>
            <w:vAlign w:val="bottom"/>
          </w:tcPr>
          <w:p>
            <w:pPr>
              <w:jc w:val="right"/>
              <w:ind w:right="117"/>
              <w:spacing w:after="0"/>
              <w:rPr>
                <w:sz w:val="20"/>
                <w:szCs w:val="20"/>
                <w:color w:val="auto"/>
              </w:rPr>
            </w:pPr>
            <w:r>
              <w:rPr>
                <w:rFonts w:ascii="Arial" w:cs="Arial" w:eastAsia="Arial" w:hAnsi="Arial"/>
                <w:sz w:val="17"/>
                <w:szCs w:val="17"/>
                <w:b w:val="1"/>
                <w:bCs w:val="1"/>
                <w:color w:val="auto"/>
              </w:rPr>
              <w:t>(109,671)</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(74,472)</w:t>
            </w:r>
          </w:p>
        </w:tc>
        <w:tc>
          <w:tcPr>
            <w:tcW w:w="50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Arial" w:cs="Arial" w:eastAsia="Arial" w:hAnsi="Arial"/>
                <w:sz w:val="17"/>
                <w:szCs w:val="17"/>
                <w:color w:val="auto"/>
              </w:rPr>
              <w:t>(13</w:t>
            </w:r>
          </w:p>
        </w:tc>
      </w:tr>
      <w:tr>
        <w:trPr>
          <w:trHeight w:val="186"/>
        </w:trPr>
        <w:tc>
          <w:tcPr>
            <w:tcW w:w="420" w:type="dxa"/>
            <w:vAlign w:val="bottom"/>
          </w:tcPr>
          <w:p>
            <w:pPr>
              <w:spacing w:after="0"/>
              <w:rPr>
                <w:sz w:val="16"/>
                <w:szCs w:val="16"/>
                <w:color w:val="auto"/>
              </w:rPr>
            </w:pPr>
          </w:p>
        </w:tc>
        <w:tc>
          <w:tcPr>
            <w:tcW w:w="110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(37,775)</w:t>
            </w:r>
          </w:p>
        </w:tc>
        <w:tc>
          <w:tcPr>
            <w:tcW w:w="50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r>
      <w:tr>
        <w:trPr>
          <w:trHeight w:val="207"/>
        </w:trPr>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11,438</w:t>
            </w: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179"/>
        </w:trPr>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7"/>
              <w:spacing w:after="0" w:line="179" w:lineRule="exact"/>
              <w:rPr>
                <w:sz w:val="20"/>
                <w:szCs w:val="20"/>
                <w:color w:val="auto"/>
              </w:rPr>
            </w:pPr>
            <w:r>
              <w:rPr>
                <w:rFonts w:ascii="Arial" w:cs="Arial" w:eastAsia="Arial" w:hAnsi="Arial"/>
                <w:sz w:val="17"/>
                <w:szCs w:val="17"/>
                <w:b w:val="1"/>
                <w:bCs w:val="1"/>
                <w:color w:val="auto"/>
              </w:rPr>
              <w:t>(210,480)</w:t>
            </w: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(15</w:t>
            </w:r>
          </w:p>
        </w:tc>
      </w:tr>
      <w:tr>
        <w:trPr>
          <w:trHeight w:val="179"/>
        </w:trPr>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7"/>
              <w:spacing w:after="0" w:line="179" w:lineRule="exact"/>
              <w:rPr>
                <w:sz w:val="20"/>
                <w:szCs w:val="20"/>
                <w:color w:val="auto"/>
              </w:rPr>
            </w:pPr>
            <w:r>
              <w:rPr>
                <w:rFonts w:ascii="Arial" w:cs="Arial" w:eastAsia="Arial" w:hAnsi="Arial"/>
                <w:sz w:val="17"/>
                <w:szCs w:val="17"/>
                <w:b w:val="1"/>
                <w:bCs w:val="1"/>
                <w:color w:val="auto"/>
              </w:rPr>
              <w:t>1,145</w:t>
            </w: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r>
      <w:tr>
        <w:trPr>
          <w:trHeight w:val="158"/>
        </w:trPr>
        <w:tc>
          <w:tcPr>
            <w:tcW w:w="420" w:type="dxa"/>
            <w:vAlign w:val="bottom"/>
          </w:tcPr>
          <w:p>
            <w:pPr>
              <w:spacing w:after="0"/>
              <w:rPr>
                <w:sz w:val="13"/>
                <w:szCs w:val="13"/>
                <w:color w:val="auto"/>
              </w:rPr>
            </w:pPr>
          </w:p>
        </w:tc>
        <w:tc>
          <w:tcPr>
            <w:tcW w:w="1100" w:type="dxa"/>
            <w:vAlign w:val="bottom"/>
          </w:tcPr>
          <w:p>
            <w:pPr>
              <w:jc w:val="right"/>
              <w:ind w:right="117"/>
              <w:spacing w:after="0" w:line="158" w:lineRule="exact"/>
              <w:rPr>
                <w:sz w:val="20"/>
                <w:szCs w:val="20"/>
                <w:color w:val="auto"/>
              </w:rPr>
            </w:pPr>
            <w:r>
              <w:rPr>
                <w:rFonts w:ascii="Arial" w:cs="Arial" w:eastAsia="Arial" w:hAnsi="Arial"/>
                <w:sz w:val="17"/>
                <w:szCs w:val="17"/>
                <w:b w:val="1"/>
                <w:bCs w:val="1"/>
                <w:color w:val="auto"/>
              </w:rPr>
              <w:t>(116,980)</w:t>
            </w:r>
          </w:p>
        </w:tc>
        <w:tc>
          <w:tcPr>
            <w:tcW w:w="50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7"/>
                <w:szCs w:val="17"/>
                <w:color w:val="auto"/>
              </w:rPr>
              <w:t>(13</w:t>
            </w:r>
          </w:p>
        </w:tc>
      </w:tr>
      <w:tr>
        <w:trPr>
          <w:trHeight w:val="207"/>
        </w:trPr>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381,099</w:t>
            </w: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179"/>
        </w:trPr>
        <w:tc>
          <w:tcPr>
            <w:tcW w:w="420" w:type="dxa"/>
            <w:vAlign w:val="bottom"/>
            <w:tcBorders>
              <w:bottom w:val="single" w:sz="8" w:color="auto"/>
            </w:tcBorders>
          </w:tcPr>
          <w:p>
            <w:pPr>
              <w:jc w:val="right"/>
              <w:ind w:right="97"/>
              <w:spacing w:after="0" w:line="17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17"/>
              <w:spacing w:after="0" w:line="179" w:lineRule="exact"/>
              <w:rPr>
                <w:sz w:val="20"/>
                <w:szCs w:val="20"/>
                <w:color w:val="auto"/>
              </w:rPr>
            </w:pPr>
            <w:r>
              <w:rPr>
                <w:rFonts w:ascii="Arial" w:cs="Arial" w:eastAsia="Arial" w:hAnsi="Arial"/>
                <w:sz w:val="17"/>
                <w:szCs w:val="17"/>
                <w:b w:val="1"/>
                <w:bCs w:val="1"/>
                <w:color w:val="auto"/>
              </w:rPr>
              <w:t>264,119</w:t>
            </w:r>
          </w:p>
        </w:tc>
        <w:tc>
          <w:tcPr>
            <w:tcW w:w="500" w:type="dxa"/>
            <w:vAlign w:val="bottom"/>
            <w:tcBorders>
              <w:bottom w:val="single" w:sz="8" w:color="auto"/>
            </w:tcBorders>
          </w:tcPr>
          <w:p>
            <w:pPr>
              <w:jc w:val="right"/>
              <w:ind w:right="117"/>
              <w:spacing w:after="0" w:line="179"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40" w:space="720"/>
            <w:col w:w="2480"/>
          </w:cols>
          <w:pgMar w:left="820" w:top="528" w:right="139" w:bottom="1440" w:gutter="0" w:footer="0" w:header="0"/>
          <w:type w:val="continuous"/>
        </w:sectPr>
      </w:pPr>
    </w:p>
    <w:bookmarkStart w:id="6" w:name="page7"/>
    <w:bookmarkEnd w:id="6"/>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left="1160"/>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BASIS OF PRESENTATION AND RECENT ACCOUNTING PRONOUNCEMENTS</w:t>
      </w:r>
    </w:p>
    <w:p>
      <w:pPr>
        <w:spacing w:after="0" w:line="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 cable television systems, newspaper publishing (principally The Washington Post), and television broadcasting (through the ownership and operation television broadcast stations).</w:t>
      </w:r>
    </w:p>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Financial Periods </w:t>
      </w:r>
      <w:r>
        <w:rPr>
          <w:rFonts w:ascii="Arial" w:cs="Arial" w:eastAsia="Arial" w:hAnsi="Arial"/>
          <w:sz w:val="17"/>
          <w:szCs w:val="17"/>
          <w:color w:val="auto"/>
        </w:rPr>
        <w:t>– In the fourth quarter of 2011, the Company changed its fiscal quarter from a thirteen week quarter ending on the Sunday nearest</w:t>
      </w:r>
      <w:r>
        <w:rPr>
          <w:rFonts w:ascii="Arial" w:cs="Arial" w:eastAsia="Arial" w:hAnsi="Arial"/>
          <w:sz w:val="17"/>
          <w:szCs w:val="17"/>
          <w:b w:val="1"/>
          <w:bCs w:val="1"/>
          <w:color w:val="auto"/>
        </w:rPr>
        <w:t xml:space="preserve"> </w:t>
      </w:r>
      <w:r>
        <w:rPr>
          <w:rFonts w:ascii="Arial" w:cs="Arial" w:eastAsia="Arial" w:hAnsi="Arial"/>
          <w:sz w:val="17"/>
          <w:szCs w:val="17"/>
          <w:color w:val="auto"/>
        </w:rPr>
        <w:t>calendar quarter-end to a quarterly month end. The fiscal quarters for 2012 and 2011 ended on June 30, 2012, March 31, 2012, July 3, 2011, and Apr 2011, respectively. Subsidiaries of the Company report on a calendar-quarter basis, with the exception of most of the newspaper publishing operation which report on a thirteen week quarter ending on the Sunday nearest the calendar quarter-end.</w:t>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condensed consolidated financial statements have been prepared in accordance with: (i) generally acce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in the United States of America (“GAAP”) for interim financial information; (ii) the instructions to Form 10-Q; and (iii) the guidance Rule 10-01 of Regulation S-X under the Securities and Exchange Act of 1934, as amended, for financial statements required to be filed with the Secur and Exchange Commission (“SEC”). They include the assets, liabilities, results of operations and cash flows of the Company, including its domestic an foreign subsidiaries that are more than 50% owned or otherwise controlled by the Company. As permitted under such rules, certain notes and other fin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flows as of and for the periods presented herein. The Company’s results of operations for the three and six months ended June 30, 2012 and July 3, 2 may not be indicative of the Company’s future results. These condensed consolidated financial statements are unaudited and should be read in conju with the Company’s audited consolidated financial statements and the notes thereto included in the Company’s Annual Report on Form 10-K for the fis year ended December 31, 2011.</w:t>
      </w:r>
    </w:p>
    <w:p>
      <w:pPr>
        <w:spacing w:after="0" w:line="13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GAAP.</w:t>
      </w:r>
    </w:p>
    <w:p>
      <w:pPr>
        <w:spacing w:after="0" w:line="138" w:lineRule="exact"/>
        <w:rPr>
          <w:sz w:val="20"/>
          <w:szCs w:val="20"/>
          <w:color w:val="auto"/>
        </w:rPr>
      </w:pPr>
    </w:p>
    <w:p>
      <w:pPr>
        <w:ind w:right="440"/>
        <w:spacing w:after="0" w:line="235" w:lineRule="auto"/>
        <w:rPr>
          <w:sz w:val="20"/>
          <w:szCs w:val="20"/>
          <w:color w:val="auto"/>
        </w:rPr>
      </w:pPr>
      <w:r>
        <w:rPr>
          <w:rFonts w:ascii="Arial" w:cs="Arial" w:eastAsia="Arial" w:hAnsi="Arial"/>
          <w:sz w:val="17"/>
          <w:szCs w:val="17"/>
          <w:color w:val="auto"/>
        </w:rPr>
        <w:t>Certain amounts in previously issued financial statements have been reclassified to conform to the current year presentation, which includes the reclassification of the results of operations of certain Kaplan businesses as discontinued operations for all periods presented.</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 its estimates and assumptions on historical experience and on various other factors that are believed to be reasonable under the circumstances. Due inherent uncertainty involved in making estimates, actual results reported in future periods may be affected by changes in those estimates.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June 2011, the Financial Accounting Standards Board (“FASB”) issued an amend</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to increase the prominence of items reported in other comprehensive income. The amendment eliminates the option to present components other comprehensive income as part of the statement of changes in stockholders' equity and requires that all changes in stockholders' equity be prese either in a single continuous statement of comprehensive income or in two separate but consecutive statements. In addition, the amendment requires companies to present on the face of the financial statements reclassification adjustments for items that are reclassified from other comprehensive inco net income in the statement(s) where the components of net income and the components of other comprehensive income are presented. The amendm does not affect how earnings per share is calculated or presented. This amendment is effective for interim and fiscal years beginning after December 2011 and must be applied retrospectively. In December 2011, the FASB deferred the requirements related to the presentation of reclassification adjust until further deliberations have taken place. Entities should continue to report reclassifications out of accumulated other comprehensive income consis with the presentation requirements in effect prior to the issuance of the June 2011 amended standard. The adoption of the amendment not deferred b FASB in the first quarter of 2012 is reflected in the Company’s Condensed Consolidated Statements of Comprehensive Income.</w:t>
      </w:r>
    </w:p>
    <w:p>
      <w:pPr>
        <w:spacing w:after="0" w:line="17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7" w:name="page8"/>
    <w:bookmarkEnd w:id="7"/>
    <w:p>
      <w:pPr>
        <w:jc w:val="both"/>
        <w:spacing w:after="0" w:line="230" w:lineRule="auto"/>
        <w:rPr>
          <w:sz w:val="20"/>
          <w:szCs w:val="20"/>
          <w:color w:val="auto"/>
        </w:rPr>
      </w:pPr>
      <w:r>
        <w:rPr>
          <w:rFonts w:ascii="Arial" w:cs="Arial" w:eastAsia="Arial" w:hAnsi="Arial"/>
          <w:sz w:val="17"/>
          <w:szCs w:val="17"/>
          <w:color w:val="auto"/>
        </w:rPr>
        <w:t>In July 2012, the FASB issued new guidance that amends the current indefinite-lived intangible assets impairment testing process. The new guidance permits an entity to first assess qualitative factors to determine whether it is more likely than not that the fair value of its indefinite-lived intangible asse less than its carrying amount as a basis for determining whether it is necessary to perform the quantitative impairment test. Previous guidance require entity to test indefinite-lived intangible assets for impairment, on at least an annual basis, by comparing the fair value of an indefinite-lived intangible a with its carrying amount. The new guidance is effective for annual and interim impairment tests performed for fiscal years beginning after September 1 2012. Early adoption is permitted if an entity’s financial statements for the most recent period have not yet been issued. The Company plans to early a this guidance at the beginning of the fourth quarter of 2012 and the guidance will not have an effect on the Company’s Condensed Consolidated Finan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DISCONTINUED OPERATIONS</w:t>
      </w:r>
    </w:p>
    <w:p>
      <w:pPr>
        <w:spacing w:after="0" w:line="19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April 2012, the Company completed the sale of Kaplan EduNeering. Under the terms of the agreement, the purchaser acquired the stock of EduNe and received substantially all the assets and liabilities. In the second quarter of 2012, the Company recorded an after-tax gain of $ 18.5 million related sale, subject to final net working capital adjustments, which is included in Income (Loss) from Discontinued Operations, Net of Tax in the Company’s Condensed Consolidated Statement of Operations for the three and six months ended June 30, 2012. In February 2012, Kaplan completed the stock Kaplan Learning Technologies (KLT) and recorded an after-tax loss on the sale of $1.9 million, which is included in Income (Loss) from Discontinued Operations, Net of Tax in the Company’s Condensed Consolidated Statement of Operations for the six months ended June 30, 2012.</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recorded $23.2 million of income tax benefits in the first quarter of 2012 in connection with the sale of its stock in EduNeering and KLT r to the excess of the outside stock tax basis over the net book value of the net assets disposed.</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October 2011, Kaplan completed the sale of Kaplan Compliance Solutions (KCS) and in July 2011, Kaplan completed the sale of Kaplan Virtual Education (KVE). The results of operations of EduNeering, KLT, KCS and KVE, for the second quarter and first six months of 2012 and 2011, where applicable, are included in the Company’s Condensed Consolidated Statements of Operations as Income (Loss) from Discontinued Operations, Net of All corresponding prior period operating results presented in the Company’s condensed consolidated financial statements and the accompanying note have been reclassified to reflect the discontinued operations presented. The Company did not reclassify its Condensed Consolidated Statements of C Flows or prior year Condensed Consolidated Balance Sheet to reflect the discontinued operations.</w:t>
      </w:r>
    </w:p>
    <w:p>
      <w:pPr>
        <w:spacing w:after="0" w:line="17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summarized Income (Loss) from Discontinued Operations, Net of Tax, for the three and six months ended June 30, 2012 and July 3, 2011 is pres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2"/>
                <w:szCs w:val="12"/>
                <w:b w:val="1"/>
                <w:bCs w:val="1"/>
                <w:color w:val="auto"/>
              </w:rPr>
              <w:t>Six Months Ended</w:t>
            </w:r>
          </w:p>
        </w:tc>
      </w:tr>
      <w:tr>
        <w:trPr>
          <w:trHeight w:val="114"/>
        </w:trPr>
        <w:tc>
          <w:tcPr>
            <w:tcW w:w="6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jc w:val="right"/>
              <w:ind w:right="429"/>
              <w:spacing w:after="0" w:line="114" w:lineRule="exact"/>
              <w:rPr>
                <w:sz w:val="20"/>
                <w:szCs w:val="20"/>
                <w:color w:val="auto"/>
              </w:rPr>
            </w:pPr>
            <w:r>
              <w:rPr>
                <w:rFonts w:ascii="Arial" w:cs="Arial" w:eastAsia="Arial" w:hAnsi="Arial"/>
                <w:sz w:val="12"/>
                <w:szCs w:val="12"/>
                <w:b w:val="1"/>
                <w:bCs w:val="1"/>
                <w:color w:val="auto"/>
              </w:rPr>
              <w:t>June 30,</w:t>
            </w:r>
          </w:p>
        </w:tc>
        <w:tc>
          <w:tcPr>
            <w:tcW w:w="340" w:type="dxa"/>
            <w:vAlign w:val="bottom"/>
          </w:tcPr>
          <w:p>
            <w:pPr>
              <w:spacing w:after="0"/>
              <w:rPr>
                <w:sz w:val="9"/>
                <w:szCs w:val="9"/>
                <w:color w:val="auto"/>
              </w:rPr>
            </w:pPr>
          </w:p>
        </w:tc>
        <w:tc>
          <w:tcPr>
            <w:tcW w:w="1020" w:type="dxa"/>
            <w:vAlign w:val="bottom"/>
          </w:tcPr>
          <w:p>
            <w:pPr>
              <w:jc w:val="right"/>
              <w:ind w:right="468"/>
              <w:spacing w:after="0" w:line="114" w:lineRule="exact"/>
              <w:rPr>
                <w:sz w:val="20"/>
                <w:szCs w:val="20"/>
                <w:color w:val="auto"/>
              </w:rPr>
            </w:pPr>
            <w:r>
              <w:rPr>
                <w:rFonts w:ascii="Arial" w:cs="Arial" w:eastAsia="Arial" w:hAnsi="Arial"/>
                <w:sz w:val="12"/>
                <w:szCs w:val="12"/>
                <w:color w:val="auto"/>
              </w:rPr>
              <w:t>July 3,</w:t>
            </w:r>
          </w:p>
        </w:tc>
        <w:tc>
          <w:tcPr>
            <w:tcW w:w="280" w:type="dxa"/>
            <w:vAlign w:val="bottom"/>
          </w:tcPr>
          <w:p>
            <w:pPr>
              <w:spacing w:after="0"/>
              <w:rPr>
                <w:sz w:val="9"/>
                <w:szCs w:val="9"/>
                <w:color w:val="auto"/>
              </w:rPr>
            </w:pPr>
          </w:p>
        </w:tc>
        <w:tc>
          <w:tcPr>
            <w:tcW w:w="960" w:type="dxa"/>
            <w:vAlign w:val="bottom"/>
          </w:tcPr>
          <w:p>
            <w:pPr>
              <w:jc w:val="right"/>
              <w:ind w:right="349"/>
              <w:spacing w:after="0" w:line="114" w:lineRule="exact"/>
              <w:rPr>
                <w:sz w:val="20"/>
                <w:szCs w:val="20"/>
                <w:color w:val="auto"/>
              </w:rPr>
            </w:pPr>
            <w:r>
              <w:rPr>
                <w:rFonts w:ascii="Arial" w:cs="Arial" w:eastAsia="Arial" w:hAnsi="Arial"/>
                <w:sz w:val="12"/>
                <w:szCs w:val="12"/>
                <w:b w:val="1"/>
                <w:bCs w:val="1"/>
                <w:color w:val="auto"/>
              </w:rPr>
              <w:t>June 30,</w:t>
            </w:r>
          </w:p>
        </w:tc>
        <w:tc>
          <w:tcPr>
            <w:tcW w:w="320" w:type="dxa"/>
            <w:vAlign w:val="bottom"/>
          </w:tcPr>
          <w:p>
            <w:pPr>
              <w:spacing w:after="0"/>
              <w:rPr>
                <w:sz w:val="9"/>
                <w:szCs w:val="9"/>
                <w:color w:val="auto"/>
              </w:rPr>
            </w:pPr>
          </w:p>
        </w:tc>
        <w:tc>
          <w:tcPr>
            <w:tcW w:w="340" w:type="dxa"/>
            <w:vAlign w:val="bottom"/>
          </w:tcPr>
          <w:p>
            <w:pPr>
              <w:jc w:val="right"/>
              <w:spacing w:after="0" w:line="114" w:lineRule="exact"/>
              <w:rPr>
                <w:sz w:val="20"/>
                <w:szCs w:val="20"/>
                <w:color w:val="auto"/>
              </w:rPr>
            </w:pPr>
            <w:r>
              <w:rPr>
                <w:rFonts w:ascii="Arial" w:cs="Arial" w:eastAsia="Arial" w:hAnsi="Arial"/>
                <w:sz w:val="12"/>
                <w:szCs w:val="12"/>
                <w:color w:val="auto"/>
              </w:rPr>
              <w:t>July</w:t>
            </w:r>
          </w:p>
        </w:tc>
      </w:tr>
      <w:tr>
        <w:trPr>
          <w:trHeight w:val="151"/>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color w:val="auto"/>
              </w:rPr>
              <w:t>2011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6300" w:type="dxa"/>
            <w:vAlign w:val="bottom"/>
          </w:tcPr>
          <w:p>
            <w:pPr>
              <w:spacing w:after="0" w:line="150" w:lineRule="exact"/>
              <w:rPr>
                <w:sz w:val="20"/>
                <w:szCs w:val="20"/>
                <w:color w:val="auto"/>
              </w:rPr>
            </w:pPr>
            <w:r>
              <w:rPr>
                <w:rFonts w:ascii="Arial" w:cs="Arial" w:eastAsia="Arial" w:hAnsi="Arial"/>
                <w:sz w:val="15"/>
                <w:szCs w:val="15"/>
                <w:color w:val="auto"/>
              </w:rPr>
              <w:t>Operating revenues</w:t>
            </w:r>
          </w:p>
        </w:tc>
        <w:tc>
          <w:tcPr>
            <w:tcW w:w="3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89"/>
              <w:spacing w:after="0" w:line="150" w:lineRule="exact"/>
              <w:rPr>
                <w:sz w:val="20"/>
                <w:szCs w:val="20"/>
                <w:color w:val="auto"/>
              </w:rPr>
            </w:pPr>
            <w:r>
              <w:rPr>
                <w:rFonts w:ascii="Arial" w:cs="Arial" w:eastAsia="Arial" w:hAnsi="Arial"/>
                <w:sz w:val="15"/>
                <w:szCs w:val="15"/>
                <w:b w:val="1"/>
                <w:bCs w:val="1"/>
                <w:color w:val="auto"/>
              </w:rPr>
              <w:t>518</w:t>
            </w:r>
          </w:p>
        </w:tc>
        <w:tc>
          <w:tcPr>
            <w:tcW w:w="34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68"/>
              <w:spacing w:after="0" w:line="150" w:lineRule="exact"/>
              <w:rPr>
                <w:sz w:val="20"/>
                <w:szCs w:val="20"/>
                <w:color w:val="auto"/>
              </w:rPr>
            </w:pPr>
            <w:r>
              <w:rPr>
                <w:rFonts w:ascii="Arial" w:cs="Arial" w:eastAsia="Arial" w:hAnsi="Arial"/>
                <w:sz w:val="15"/>
                <w:szCs w:val="15"/>
                <w:color w:val="auto"/>
              </w:rPr>
              <w:t>24,618</w:t>
            </w:r>
          </w:p>
        </w:tc>
        <w:tc>
          <w:tcPr>
            <w:tcW w:w="2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7,309</w:t>
            </w:r>
          </w:p>
        </w:tc>
        <w:tc>
          <w:tcPr>
            <w:tcW w:w="320" w:type="dxa"/>
            <w:vAlign w:val="bottom"/>
          </w:tcPr>
          <w:p>
            <w:pPr>
              <w:jc w:val="right"/>
              <w:ind w:right="6"/>
              <w:spacing w:after="0" w:line="150"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r>
      <w:tr>
        <w:trPr>
          <w:trHeight w:val="190"/>
        </w:trPr>
        <w:tc>
          <w:tcPr>
            <w:tcW w:w="6300" w:type="dxa"/>
            <w:vAlign w:val="bottom"/>
          </w:tcPr>
          <w:p>
            <w:pPr>
              <w:spacing w:after="0"/>
              <w:rPr>
                <w:sz w:val="20"/>
                <w:szCs w:val="20"/>
                <w:color w:val="auto"/>
              </w:rPr>
            </w:pPr>
            <w:r>
              <w:rPr>
                <w:rFonts w:ascii="Arial" w:cs="Arial" w:eastAsia="Arial" w:hAnsi="Arial"/>
                <w:sz w:val="15"/>
                <w:szCs w:val="15"/>
                <w:color w:val="auto"/>
              </w:rPr>
              <w:t>Operating costs and expenses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b w:val="1"/>
                <w:bCs w:val="1"/>
                <w:color w:val="auto"/>
              </w:rPr>
              <w:t>(1,485)</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(27,838)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(8,620)</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r>
      <w:tr>
        <w:trPr>
          <w:trHeight w:val="150"/>
        </w:trPr>
        <w:tc>
          <w:tcPr>
            <w:tcW w:w="6300" w:type="dxa"/>
            <w:vAlign w:val="bottom"/>
          </w:tcPr>
          <w:p>
            <w:pPr>
              <w:spacing w:after="0" w:line="150" w:lineRule="exact"/>
              <w:rPr>
                <w:sz w:val="20"/>
                <w:szCs w:val="20"/>
                <w:color w:val="auto"/>
              </w:rPr>
            </w:pPr>
            <w:r>
              <w:rPr>
                <w:rFonts w:ascii="Arial" w:cs="Arial" w:eastAsia="Arial" w:hAnsi="Arial"/>
                <w:sz w:val="15"/>
                <w:szCs w:val="15"/>
                <w:color w:val="auto"/>
              </w:rPr>
              <w:t>Loss from discontinued operations</w:t>
            </w:r>
          </w:p>
        </w:tc>
        <w:tc>
          <w:tcPr>
            <w:tcW w:w="300" w:type="dxa"/>
            <w:vAlign w:val="bottom"/>
          </w:tcPr>
          <w:p>
            <w:pPr>
              <w:spacing w:after="0"/>
              <w:rPr>
                <w:sz w:val="13"/>
                <w:szCs w:val="13"/>
                <w:color w:val="auto"/>
              </w:rPr>
            </w:pPr>
          </w:p>
        </w:tc>
        <w:tc>
          <w:tcPr>
            <w:tcW w:w="1080" w:type="dxa"/>
            <w:vAlign w:val="bottom"/>
          </w:tcPr>
          <w:p>
            <w:pPr>
              <w:jc w:val="right"/>
              <w:ind w:right="89"/>
              <w:spacing w:after="0" w:line="150" w:lineRule="exact"/>
              <w:rPr>
                <w:sz w:val="20"/>
                <w:szCs w:val="20"/>
                <w:color w:val="auto"/>
              </w:rPr>
            </w:pPr>
            <w:r>
              <w:rPr>
                <w:rFonts w:ascii="Arial" w:cs="Arial" w:eastAsia="Arial" w:hAnsi="Arial"/>
                <w:sz w:val="15"/>
                <w:szCs w:val="15"/>
                <w:b w:val="1"/>
                <w:bCs w:val="1"/>
                <w:color w:val="auto"/>
              </w:rPr>
              <w:t>(967)</w:t>
            </w:r>
          </w:p>
        </w:tc>
        <w:tc>
          <w:tcPr>
            <w:tcW w:w="340" w:type="dxa"/>
            <w:vAlign w:val="bottom"/>
          </w:tcPr>
          <w:p>
            <w:pPr>
              <w:spacing w:after="0"/>
              <w:rPr>
                <w:sz w:val="13"/>
                <w:szCs w:val="13"/>
                <w:color w:val="auto"/>
              </w:rPr>
            </w:pPr>
          </w:p>
        </w:tc>
        <w:tc>
          <w:tcPr>
            <w:tcW w:w="1020" w:type="dxa"/>
            <w:vAlign w:val="bottom"/>
          </w:tcPr>
          <w:p>
            <w:pPr>
              <w:jc w:val="right"/>
              <w:ind w:right="68"/>
              <w:spacing w:after="0" w:line="150" w:lineRule="exact"/>
              <w:rPr>
                <w:sz w:val="20"/>
                <w:szCs w:val="20"/>
                <w:color w:val="auto"/>
              </w:rPr>
            </w:pPr>
            <w:r>
              <w:rPr>
                <w:rFonts w:ascii="Arial" w:cs="Arial" w:eastAsia="Arial" w:hAnsi="Arial"/>
                <w:sz w:val="15"/>
                <w:szCs w:val="15"/>
                <w:color w:val="auto"/>
              </w:rPr>
              <w:t>(3,220)</w:t>
            </w:r>
          </w:p>
        </w:tc>
        <w:tc>
          <w:tcPr>
            <w:tcW w:w="280" w:type="dxa"/>
            <w:vAlign w:val="bottom"/>
          </w:tcPr>
          <w:p>
            <w:pPr>
              <w:spacing w:after="0"/>
              <w:rPr>
                <w:sz w:val="13"/>
                <w:szCs w:val="13"/>
                <w:color w:val="auto"/>
              </w:rPr>
            </w:pPr>
          </w:p>
        </w:tc>
        <w:tc>
          <w:tcPr>
            <w:tcW w:w="96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(1,311)</w:t>
            </w:r>
          </w:p>
        </w:tc>
        <w:tc>
          <w:tcPr>
            <w:tcW w:w="320" w:type="dxa"/>
            <w:vAlign w:val="bottom"/>
          </w:tcPr>
          <w:p>
            <w:pPr>
              <w:spacing w:after="0"/>
              <w:rPr>
                <w:sz w:val="13"/>
                <w:szCs w:val="13"/>
                <w:color w:val="auto"/>
              </w:rPr>
            </w:pPr>
          </w:p>
        </w:tc>
        <w:tc>
          <w:tcPr>
            <w:tcW w:w="3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r>
      <w:tr>
        <w:trPr>
          <w:trHeight w:val="190"/>
        </w:trPr>
        <w:tc>
          <w:tcPr>
            <w:tcW w:w="6300" w:type="dxa"/>
            <w:vAlign w:val="bottom"/>
          </w:tcPr>
          <w:p>
            <w:pPr>
              <w:spacing w:after="0"/>
              <w:rPr>
                <w:sz w:val="20"/>
                <w:szCs w:val="20"/>
                <w:color w:val="auto"/>
              </w:rPr>
            </w:pPr>
            <w:r>
              <w:rPr>
                <w:rFonts w:ascii="Arial" w:cs="Arial" w:eastAsia="Arial" w:hAnsi="Arial"/>
                <w:sz w:val="15"/>
                <w:szCs w:val="15"/>
                <w:color w:val="auto"/>
              </w:rPr>
              <w:t>Benefit from income taxes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b w:val="1"/>
                <w:bCs w:val="1"/>
                <w:color w:val="auto"/>
              </w:rPr>
              <w:t>(270)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(1,200)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(459)</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50"/>
        </w:trPr>
        <w:tc>
          <w:tcPr>
            <w:tcW w:w="6300" w:type="dxa"/>
            <w:vAlign w:val="bottom"/>
          </w:tcPr>
          <w:p>
            <w:pPr>
              <w:spacing w:after="0" w:line="150" w:lineRule="exact"/>
              <w:rPr>
                <w:sz w:val="20"/>
                <w:szCs w:val="20"/>
                <w:color w:val="auto"/>
              </w:rPr>
            </w:pPr>
            <w:r>
              <w:rPr>
                <w:rFonts w:ascii="Arial" w:cs="Arial" w:eastAsia="Arial" w:hAnsi="Arial"/>
                <w:sz w:val="15"/>
                <w:szCs w:val="15"/>
                <w:b w:val="1"/>
                <w:bCs w:val="1"/>
                <w:color w:val="auto"/>
              </w:rPr>
              <w:t>Net Loss from Discontinued Operations</w:t>
            </w:r>
          </w:p>
        </w:tc>
        <w:tc>
          <w:tcPr>
            <w:tcW w:w="300" w:type="dxa"/>
            <w:vAlign w:val="bottom"/>
          </w:tcPr>
          <w:p>
            <w:pPr>
              <w:spacing w:after="0"/>
              <w:rPr>
                <w:sz w:val="13"/>
                <w:szCs w:val="13"/>
                <w:color w:val="auto"/>
              </w:rPr>
            </w:pPr>
          </w:p>
        </w:tc>
        <w:tc>
          <w:tcPr>
            <w:tcW w:w="1080" w:type="dxa"/>
            <w:vAlign w:val="bottom"/>
          </w:tcPr>
          <w:p>
            <w:pPr>
              <w:jc w:val="right"/>
              <w:ind w:right="89"/>
              <w:spacing w:after="0" w:line="150" w:lineRule="exact"/>
              <w:rPr>
                <w:sz w:val="20"/>
                <w:szCs w:val="20"/>
                <w:color w:val="auto"/>
              </w:rPr>
            </w:pPr>
            <w:r>
              <w:rPr>
                <w:rFonts w:ascii="Arial" w:cs="Arial" w:eastAsia="Arial" w:hAnsi="Arial"/>
                <w:sz w:val="15"/>
                <w:szCs w:val="15"/>
                <w:b w:val="1"/>
                <w:bCs w:val="1"/>
                <w:color w:val="auto"/>
              </w:rPr>
              <w:t>(697)</w:t>
            </w:r>
          </w:p>
        </w:tc>
        <w:tc>
          <w:tcPr>
            <w:tcW w:w="340" w:type="dxa"/>
            <w:vAlign w:val="bottom"/>
          </w:tcPr>
          <w:p>
            <w:pPr>
              <w:spacing w:after="0"/>
              <w:rPr>
                <w:sz w:val="13"/>
                <w:szCs w:val="13"/>
                <w:color w:val="auto"/>
              </w:rPr>
            </w:pPr>
          </w:p>
        </w:tc>
        <w:tc>
          <w:tcPr>
            <w:tcW w:w="1020" w:type="dxa"/>
            <w:vAlign w:val="bottom"/>
          </w:tcPr>
          <w:p>
            <w:pPr>
              <w:jc w:val="right"/>
              <w:ind w:right="68"/>
              <w:spacing w:after="0" w:line="150" w:lineRule="exact"/>
              <w:rPr>
                <w:sz w:val="20"/>
                <w:szCs w:val="20"/>
                <w:color w:val="auto"/>
              </w:rPr>
            </w:pPr>
            <w:r>
              <w:rPr>
                <w:rFonts w:ascii="Arial" w:cs="Arial" w:eastAsia="Arial" w:hAnsi="Arial"/>
                <w:sz w:val="15"/>
                <w:szCs w:val="15"/>
                <w:color w:val="auto"/>
              </w:rPr>
              <w:t>(2,020)</w:t>
            </w:r>
          </w:p>
        </w:tc>
        <w:tc>
          <w:tcPr>
            <w:tcW w:w="280" w:type="dxa"/>
            <w:vAlign w:val="bottom"/>
          </w:tcPr>
          <w:p>
            <w:pPr>
              <w:spacing w:after="0"/>
              <w:rPr>
                <w:sz w:val="13"/>
                <w:szCs w:val="13"/>
                <w:color w:val="auto"/>
              </w:rPr>
            </w:pPr>
          </w:p>
        </w:tc>
        <w:tc>
          <w:tcPr>
            <w:tcW w:w="96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(852)</w:t>
            </w:r>
          </w:p>
        </w:tc>
        <w:tc>
          <w:tcPr>
            <w:tcW w:w="320" w:type="dxa"/>
            <w:vAlign w:val="bottom"/>
          </w:tcPr>
          <w:p>
            <w:pPr>
              <w:spacing w:after="0"/>
              <w:rPr>
                <w:sz w:val="13"/>
                <w:szCs w:val="13"/>
                <w:color w:val="auto"/>
              </w:rPr>
            </w:pPr>
          </w:p>
        </w:tc>
        <w:tc>
          <w:tcPr>
            <w:tcW w:w="3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r>
      <w:tr>
        <w:trPr>
          <w:trHeight w:val="174"/>
        </w:trPr>
        <w:tc>
          <w:tcPr>
            <w:tcW w:w="6300" w:type="dxa"/>
            <w:vAlign w:val="bottom"/>
          </w:tcPr>
          <w:p>
            <w:pPr>
              <w:spacing w:after="0"/>
              <w:rPr>
                <w:sz w:val="20"/>
                <w:szCs w:val="20"/>
                <w:color w:val="auto"/>
              </w:rPr>
            </w:pPr>
            <w:r>
              <w:rPr>
                <w:rFonts w:ascii="Arial" w:cs="Arial" w:eastAsia="Arial" w:hAnsi="Arial"/>
                <w:sz w:val="15"/>
                <w:szCs w:val="15"/>
                <w:color w:val="auto"/>
              </w:rPr>
              <w:t>Gain on sale of discontinued operations</w:t>
            </w:r>
          </w:p>
        </w:tc>
        <w:tc>
          <w:tcPr>
            <w:tcW w:w="30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Arial" w:cs="Arial" w:eastAsia="Arial" w:hAnsi="Arial"/>
                <w:sz w:val="15"/>
                <w:szCs w:val="15"/>
                <w:b w:val="1"/>
                <w:bCs w:val="1"/>
                <w:color w:val="auto"/>
              </w:rPr>
              <w:t>29,541</w:t>
            </w:r>
          </w:p>
        </w:tc>
        <w:tc>
          <w:tcPr>
            <w:tcW w:w="34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5"/>
                <w:szCs w:val="15"/>
                <w:b w:val="1"/>
                <w:bCs w:val="1"/>
                <w:color w:val="auto"/>
              </w:rPr>
              <w:t>26,459</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90"/>
        </w:trPr>
        <w:tc>
          <w:tcPr>
            <w:tcW w:w="6300" w:type="dxa"/>
            <w:vAlign w:val="bottom"/>
          </w:tcPr>
          <w:p>
            <w:pPr>
              <w:spacing w:after="0"/>
              <w:rPr>
                <w:sz w:val="20"/>
                <w:szCs w:val="20"/>
                <w:color w:val="auto"/>
              </w:rPr>
            </w:pPr>
            <w:r>
              <w:rPr>
                <w:rFonts w:ascii="Arial" w:cs="Arial" w:eastAsia="Arial" w:hAnsi="Arial"/>
                <w:sz w:val="15"/>
                <w:szCs w:val="15"/>
                <w:color w:val="auto"/>
              </w:rPr>
              <w:t>Provision for (benefit from) income taxes on sale of discontinued operations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b w:val="1"/>
                <w:bCs w:val="1"/>
                <w:color w:val="auto"/>
              </w:rPr>
              <w:t>11,000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(12,454)</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66"/>
        </w:trPr>
        <w:tc>
          <w:tcPr>
            <w:tcW w:w="6300" w:type="dxa"/>
            <w:vAlign w:val="bottom"/>
          </w:tcPr>
          <w:p>
            <w:pPr>
              <w:spacing w:after="0" w:line="167" w:lineRule="exact"/>
              <w:rPr>
                <w:sz w:val="20"/>
                <w:szCs w:val="20"/>
                <w:color w:val="auto"/>
              </w:rPr>
            </w:pPr>
            <w:r>
              <w:rPr>
                <w:rFonts w:ascii="Arial" w:cs="Arial" w:eastAsia="Arial" w:hAnsi="Arial"/>
                <w:sz w:val="15"/>
                <w:szCs w:val="15"/>
                <w:b w:val="1"/>
                <w:bCs w:val="1"/>
                <w:color w:val="auto"/>
              </w:rPr>
              <w:t>Income (Loss) from Discontinued Operations, Net of Tax</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89"/>
              <w:spacing w:after="0" w:line="167" w:lineRule="exact"/>
              <w:rPr>
                <w:sz w:val="20"/>
                <w:szCs w:val="20"/>
                <w:color w:val="auto"/>
              </w:rPr>
            </w:pPr>
            <w:r>
              <w:rPr>
                <w:rFonts w:ascii="Arial" w:cs="Arial" w:eastAsia="Arial" w:hAnsi="Arial"/>
                <w:sz w:val="15"/>
                <w:szCs w:val="15"/>
                <w:b w:val="1"/>
                <w:bCs w:val="1"/>
                <w:color w:val="auto"/>
              </w:rPr>
              <w:t>17,844</w:t>
            </w: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color w:val="auto"/>
              </w:rPr>
              <w:t>(2,020)</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38,061</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97" w:right="1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3.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marketable equity securities at June 30, 2012 and December 31, 2011 comprised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531"/>
              <w:spacing w:after="0"/>
              <w:rPr>
                <w:sz w:val="20"/>
                <w:szCs w:val="20"/>
                <w:color w:val="auto"/>
              </w:rPr>
            </w:pPr>
            <w:r>
              <w:rPr>
                <w:rFonts w:ascii="Arial" w:cs="Arial" w:eastAsia="Arial" w:hAnsi="Arial"/>
                <w:sz w:val="12"/>
                <w:szCs w:val="12"/>
                <w:b w:val="1"/>
                <w:bCs w:val="1"/>
                <w:color w:val="auto"/>
              </w:rPr>
              <w:t>June 30,</w:t>
            </w: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December</w:t>
            </w:r>
          </w:p>
        </w:tc>
      </w:tr>
      <w:tr>
        <w:trPr>
          <w:trHeight w:val="151"/>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71"/>
              <w:spacing w:after="0"/>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color w:val="auto"/>
              </w:rPr>
              <w:t>2011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Total cost</w:t>
            </w:r>
          </w:p>
        </w:tc>
        <w:tc>
          <w:tcPr>
            <w:tcW w:w="34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131"/>
              <w:spacing w:after="0" w:line="150" w:lineRule="exact"/>
              <w:rPr>
                <w:sz w:val="20"/>
                <w:szCs w:val="20"/>
                <w:color w:val="auto"/>
              </w:rPr>
            </w:pPr>
            <w:r>
              <w:rPr>
                <w:rFonts w:ascii="Arial" w:cs="Arial" w:eastAsia="Arial" w:hAnsi="Arial"/>
                <w:sz w:val="15"/>
                <w:szCs w:val="15"/>
                <w:b w:val="1"/>
                <w:bCs w:val="1"/>
                <w:color w:val="auto"/>
              </w:rPr>
              <w:t>213,831</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Net unrealized gains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5"/>
                <w:szCs w:val="15"/>
                <w:b w:val="1"/>
                <w:bCs w:val="1"/>
                <w:color w:val="auto"/>
              </w:rPr>
              <w:t>172,064</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line="167" w:lineRule="exact"/>
              <w:rPr>
                <w:sz w:val="20"/>
                <w:szCs w:val="20"/>
                <w:color w:val="auto"/>
              </w:rPr>
            </w:pPr>
            <w:r>
              <w:rPr>
                <w:rFonts w:ascii="Arial" w:cs="Arial" w:eastAsia="Arial" w:hAnsi="Arial"/>
                <w:sz w:val="15"/>
                <w:szCs w:val="15"/>
                <w:b w:val="1"/>
                <w:bCs w:val="1"/>
                <w:color w:val="auto"/>
              </w:rPr>
              <w:t>Total Fair Value</w:t>
            </w: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131"/>
              <w:spacing w:after="0" w:line="167" w:lineRule="exact"/>
              <w:rPr>
                <w:sz w:val="20"/>
                <w:szCs w:val="20"/>
                <w:color w:val="auto"/>
              </w:rPr>
            </w:pPr>
            <w:r>
              <w:rPr>
                <w:rFonts w:ascii="Arial" w:cs="Arial" w:eastAsia="Arial" w:hAnsi="Arial"/>
                <w:sz w:val="15"/>
                <w:szCs w:val="15"/>
                <w:b w:val="1"/>
                <w:bCs w:val="1"/>
                <w:color w:val="auto"/>
              </w:rPr>
              <w:t>385,895</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r>
      <w:tr>
        <w:trPr>
          <w:trHeight w:val="20"/>
        </w:trPr>
        <w:tc>
          <w:tcPr>
            <w:tcW w:w="8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invested $45.0 million in marketable equity securities during the first six months of 2012. There were no new investments in marketable equity securities during the first six months of 2011. During the first six months of 2012, proceeds from sales of marketable equity securities were $2.0 million, and net realized gains on such sales were $0.5 million. There were no sales of marketable equity securities in the first six months of 2011.</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At the end of the first quarter of 2011, the Company’s investment in Corinthian Colleges, Inc. had been in an unrealized loss position for over six mont The Company evaluated this investment for other-than-temporary impairment based on various factors, including the duration and severity of the unre loss, the reason for the decline in value and the potential recovery period, and the Company’s ability and intent to hold the investment. In the first quar 2011, the Company concluded the loss was other-than-temporary and recorded a $30.7 million write-down on the investment. The investment continu decline and in the third quarter of 2011, the Company recorded another $23.1 million write-down on the investment. The Company’s investment in Corinthian Colleges, Inc. accounted for $21.5 million of the total fair value of the Company’s investments in marketable equity securities at June 30, 20</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 AND DISPOSITIONS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the first six months of 2012, the Company acquired four small businesses in its education division and other businesses segment; the purchase pric allocation mostly comprised goodwill and other intangible assets on a preliminary basis. In the first six months of 2011, the Company acquired four businesses. In the second quarter of 2011, Kaplan acquired three businesses in its Kaplan International division. These acquisitions included Kaplan’s 2011 acquisitions of Franklyn Scholar and Carrick Education Group, leading national providers of vocational training and higher education in Australia. June 2011, Kaplan acquired Structuralia, a provider of e-learning for the engineering and infrastructure sector in Spain. The assets and liabilities of the companies acquired have been recorded at their estimated fair values at the date of acquisition.</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Kaplan completed the sales of EduNeering in April 2012 and Kaplan Learning Technologies in February 2012, which were part of the Kaplan Ventures division. In July 2011, Kaplan completed the sale of Kaplan Virtual Education, which was part of Kaplan Ventures division.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5. GOODWILL AND OTHER INTANGIBLE ASSETS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Amortization of intangible assets for the three months ended June 30, 2012 and July 3, 2011 was $4.5 million and $7.4 million, respectively. Amortizat intangible assets for the six months ended June 30, 2012 and July 3, 2011 was $8.7 and $ 14.2 million. Amortization of intangible assets is estimated t approximately $9 million for the remainder of 2012, $14 million in 2013, $8 million in 2014, $6 million in 2015, $5 million in 2016, $6 million in 2017 and million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for the six months ended June 30, 2012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48"/>
              <w:spacing w:after="0"/>
              <w:rPr>
                <w:sz w:val="20"/>
                <w:szCs w:val="20"/>
                <w:color w:val="auto"/>
              </w:rPr>
            </w:pPr>
            <w:r>
              <w:rPr>
                <w:rFonts w:ascii="Arial" w:cs="Arial" w:eastAsia="Arial" w:hAnsi="Arial"/>
                <w:sz w:val="12"/>
                <w:szCs w:val="12"/>
                <w:b w:val="1"/>
                <w:bCs w:val="1"/>
                <w:color w:val="auto"/>
              </w:rPr>
              <w:t>Cable</w:t>
            </w:r>
          </w:p>
        </w:tc>
        <w:tc>
          <w:tcPr>
            <w:tcW w:w="240" w:type="dxa"/>
            <w:vAlign w:val="bottom"/>
          </w:tcPr>
          <w:p>
            <w:pPr>
              <w:spacing w:after="0"/>
              <w:rPr>
                <w:sz w:val="12"/>
                <w:szCs w:val="12"/>
                <w:color w:val="auto"/>
              </w:rPr>
            </w:pPr>
          </w:p>
        </w:tc>
        <w:tc>
          <w:tcPr>
            <w:tcW w:w="900" w:type="dxa"/>
            <w:vAlign w:val="bottom"/>
          </w:tcPr>
          <w:p>
            <w:pPr>
              <w:jc w:val="right"/>
              <w:ind w:right="128"/>
              <w:spacing w:after="0"/>
              <w:rPr>
                <w:sz w:val="20"/>
                <w:szCs w:val="20"/>
                <w:color w:val="auto"/>
              </w:rPr>
            </w:pPr>
            <w:r>
              <w:rPr>
                <w:rFonts w:ascii="Arial" w:cs="Arial" w:eastAsia="Arial" w:hAnsi="Arial"/>
                <w:sz w:val="12"/>
                <w:szCs w:val="12"/>
                <w:b w:val="1"/>
                <w:bCs w:val="1"/>
                <w:color w:val="auto"/>
              </w:rPr>
              <w:t>Newspaper</w:t>
            </w:r>
          </w:p>
        </w:tc>
        <w:tc>
          <w:tcPr>
            <w:tcW w:w="200" w:type="dxa"/>
            <w:vAlign w:val="bottom"/>
          </w:tcPr>
          <w:p>
            <w:pPr>
              <w:spacing w:after="0"/>
              <w:rPr>
                <w:sz w:val="12"/>
                <w:szCs w:val="12"/>
                <w:color w:val="auto"/>
              </w:rPr>
            </w:pPr>
          </w:p>
        </w:tc>
        <w:tc>
          <w:tcPr>
            <w:tcW w:w="940" w:type="dxa"/>
            <w:vAlign w:val="bottom"/>
          </w:tcPr>
          <w:p>
            <w:pPr>
              <w:jc w:val="right"/>
              <w:ind w:right="188"/>
              <w:spacing w:after="0"/>
              <w:rPr>
                <w:sz w:val="20"/>
                <w:szCs w:val="20"/>
                <w:color w:val="auto"/>
              </w:rPr>
            </w:pPr>
            <w:r>
              <w:rPr>
                <w:rFonts w:ascii="Arial" w:cs="Arial" w:eastAsia="Arial" w:hAnsi="Arial"/>
                <w:sz w:val="12"/>
                <w:szCs w:val="12"/>
                <w:b w:val="1"/>
                <w:bCs w:val="1"/>
                <w:color w:val="auto"/>
              </w:rPr>
              <w:t>Television</w:t>
            </w:r>
          </w:p>
        </w:tc>
        <w:tc>
          <w:tcPr>
            <w:tcW w:w="200" w:type="dxa"/>
            <w:vAlign w:val="bottom"/>
          </w:tcPr>
          <w:p>
            <w:pPr>
              <w:spacing w:after="0"/>
              <w:rPr>
                <w:sz w:val="12"/>
                <w:szCs w:val="12"/>
                <w:color w:val="auto"/>
              </w:rPr>
            </w:pPr>
          </w:p>
        </w:tc>
        <w:tc>
          <w:tcPr>
            <w:tcW w:w="920" w:type="dxa"/>
            <w:vAlign w:val="bottom"/>
          </w:tcPr>
          <w:p>
            <w:pPr>
              <w:jc w:val="right"/>
              <w:ind w:right="308"/>
              <w:spacing w:after="0"/>
              <w:rPr>
                <w:sz w:val="20"/>
                <w:szCs w:val="20"/>
                <w:color w:val="auto"/>
              </w:rPr>
            </w:pPr>
            <w:r>
              <w:rPr>
                <w:rFonts w:ascii="Arial" w:cs="Arial" w:eastAsia="Arial" w:hAnsi="Arial"/>
                <w:sz w:val="12"/>
                <w:szCs w:val="12"/>
                <w:b w:val="1"/>
                <w:bCs w:val="1"/>
                <w:color w:val="auto"/>
              </w:rPr>
              <w:t>Other</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Education</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Television</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Publishing</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w w:val="99"/>
              </w:rPr>
              <w:t>Broadcasting</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Businesses</w:t>
            </w: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December 31, 2011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1,116,615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8"/>
              <w:spacing w:after="0"/>
              <w:rPr>
                <w:sz w:val="20"/>
                <w:szCs w:val="20"/>
                <w:color w:val="auto"/>
              </w:rPr>
            </w:pPr>
            <w:r>
              <w:rPr>
                <w:rFonts w:ascii="Arial" w:cs="Arial" w:eastAsia="Arial" w:hAnsi="Arial"/>
                <w:sz w:val="15"/>
                <w:szCs w:val="15"/>
                <w:color w:val="auto"/>
              </w:rPr>
              <w:t>85,488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
              <w:spacing w:after="0"/>
              <w:rPr>
                <w:sz w:val="20"/>
                <w:szCs w:val="20"/>
                <w:color w:val="auto"/>
              </w:rPr>
            </w:pPr>
            <w:r>
              <w:rPr>
                <w:rFonts w:ascii="Arial" w:cs="Arial" w:eastAsia="Arial" w:hAnsi="Arial"/>
                <w:sz w:val="15"/>
                <w:szCs w:val="15"/>
                <w:color w:val="auto"/>
              </w:rPr>
              <w:t>81,183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
              <w:spacing w:after="0"/>
              <w:rPr>
                <w:sz w:val="20"/>
                <w:szCs w:val="20"/>
                <w:color w:val="auto"/>
              </w:rPr>
            </w:pPr>
            <w:r>
              <w:rPr>
                <w:rFonts w:ascii="Arial" w:cs="Arial" w:eastAsia="Arial" w:hAnsi="Arial"/>
                <w:sz w:val="15"/>
                <w:szCs w:val="15"/>
                <w:color w:val="auto"/>
              </w:rPr>
              <w:t>203,165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
              <w:spacing w:after="0"/>
              <w:rPr>
                <w:sz w:val="20"/>
                <w:szCs w:val="20"/>
                <w:color w:val="auto"/>
              </w:rPr>
            </w:pPr>
            <w:r>
              <w:rPr>
                <w:rFonts w:ascii="Arial" w:cs="Arial" w:eastAsia="Arial" w:hAnsi="Arial"/>
                <w:sz w:val="15"/>
                <w:szCs w:val="15"/>
                <w:color w:val="auto"/>
              </w:rPr>
              <w:t>100,152</w:t>
            </w:r>
          </w:p>
        </w:tc>
        <w:tc>
          <w:tcPr>
            <w:tcW w:w="4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72"/>
        </w:trPr>
        <w:tc>
          <w:tcPr>
            <w:tcW w:w="44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(8,492)</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(65,772)</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(97,342)</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50"/>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7"/>
              <w:spacing w:after="0" w:line="150" w:lineRule="exact"/>
              <w:rPr>
                <w:sz w:val="20"/>
                <w:szCs w:val="20"/>
                <w:color w:val="auto"/>
              </w:rPr>
            </w:pPr>
            <w:r>
              <w:rPr>
                <w:rFonts w:ascii="Arial" w:cs="Arial" w:eastAsia="Arial" w:hAnsi="Arial"/>
                <w:sz w:val="15"/>
                <w:szCs w:val="15"/>
                <w:color w:val="auto"/>
              </w:rPr>
              <w:t>1,108,123</w:t>
            </w:r>
          </w:p>
        </w:tc>
        <w:tc>
          <w:tcPr>
            <w:tcW w:w="220" w:type="dxa"/>
            <w:vAlign w:val="bottom"/>
          </w:tcPr>
          <w:p>
            <w:pPr>
              <w:spacing w:after="0"/>
              <w:rPr>
                <w:sz w:val="13"/>
                <w:szCs w:val="13"/>
                <w:color w:val="auto"/>
              </w:rPr>
            </w:pPr>
          </w:p>
        </w:tc>
        <w:tc>
          <w:tcPr>
            <w:tcW w:w="820" w:type="dxa"/>
            <w:vAlign w:val="bottom"/>
          </w:tcPr>
          <w:p>
            <w:pPr>
              <w:jc w:val="right"/>
              <w:ind w:right="8"/>
              <w:spacing w:after="0" w:line="150" w:lineRule="exact"/>
              <w:rPr>
                <w:sz w:val="20"/>
                <w:szCs w:val="20"/>
                <w:color w:val="auto"/>
              </w:rPr>
            </w:pPr>
            <w:r>
              <w:rPr>
                <w:rFonts w:ascii="Arial" w:cs="Arial" w:eastAsia="Arial" w:hAnsi="Arial"/>
                <w:sz w:val="15"/>
                <w:szCs w:val="15"/>
                <w:color w:val="auto"/>
              </w:rPr>
              <w:t>85,488</w:t>
            </w:r>
          </w:p>
        </w:tc>
        <w:tc>
          <w:tcPr>
            <w:tcW w:w="240" w:type="dxa"/>
            <w:vAlign w:val="bottom"/>
          </w:tcPr>
          <w:p>
            <w:pPr>
              <w:spacing w:after="0"/>
              <w:rPr>
                <w:sz w:val="13"/>
                <w:szCs w:val="13"/>
                <w:color w:val="auto"/>
              </w:rPr>
            </w:pPr>
          </w:p>
        </w:tc>
        <w:tc>
          <w:tcPr>
            <w:tcW w:w="900" w:type="dxa"/>
            <w:vAlign w:val="bottom"/>
          </w:tcPr>
          <w:p>
            <w:pPr>
              <w:jc w:val="right"/>
              <w:ind w:right="8"/>
              <w:spacing w:after="0" w:line="150" w:lineRule="exact"/>
              <w:rPr>
                <w:sz w:val="20"/>
                <w:szCs w:val="20"/>
                <w:color w:val="auto"/>
              </w:rPr>
            </w:pPr>
            <w:r>
              <w:rPr>
                <w:rFonts w:ascii="Arial" w:cs="Arial" w:eastAsia="Arial" w:hAnsi="Arial"/>
                <w:sz w:val="15"/>
                <w:szCs w:val="15"/>
                <w:color w:val="auto"/>
              </w:rPr>
              <w:t>15,411</w:t>
            </w:r>
          </w:p>
        </w:tc>
        <w:tc>
          <w:tcPr>
            <w:tcW w:w="200" w:type="dxa"/>
            <w:vAlign w:val="bottom"/>
          </w:tcPr>
          <w:p>
            <w:pPr>
              <w:spacing w:after="0"/>
              <w:rPr>
                <w:sz w:val="13"/>
                <w:szCs w:val="13"/>
                <w:color w:val="auto"/>
              </w:rPr>
            </w:pPr>
          </w:p>
        </w:tc>
        <w:tc>
          <w:tcPr>
            <w:tcW w:w="940" w:type="dxa"/>
            <w:vAlign w:val="bottom"/>
          </w:tcPr>
          <w:p>
            <w:pPr>
              <w:jc w:val="right"/>
              <w:ind w:right="8"/>
              <w:spacing w:after="0" w:line="150" w:lineRule="exact"/>
              <w:rPr>
                <w:sz w:val="20"/>
                <w:szCs w:val="20"/>
                <w:color w:val="auto"/>
              </w:rPr>
            </w:pPr>
            <w:r>
              <w:rPr>
                <w:rFonts w:ascii="Arial" w:cs="Arial" w:eastAsia="Arial" w:hAnsi="Arial"/>
                <w:sz w:val="15"/>
                <w:szCs w:val="15"/>
                <w:color w:val="auto"/>
              </w:rPr>
              <w:t>203,165</w:t>
            </w:r>
          </w:p>
        </w:tc>
        <w:tc>
          <w:tcPr>
            <w:tcW w:w="200" w:type="dxa"/>
            <w:vAlign w:val="bottom"/>
          </w:tcPr>
          <w:p>
            <w:pPr>
              <w:spacing w:after="0"/>
              <w:rPr>
                <w:sz w:val="13"/>
                <w:szCs w:val="13"/>
                <w:color w:val="auto"/>
              </w:rPr>
            </w:pPr>
          </w:p>
        </w:tc>
        <w:tc>
          <w:tcPr>
            <w:tcW w:w="920" w:type="dxa"/>
            <w:vAlign w:val="bottom"/>
          </w:tcPr>
          <w:p>
            <w:pPr>
              <w:jc w:val="right"/>
              <w:ind w:right="8"/>
              <w:spacing w:after="0" w:line="150" w:lineRule="exact"/>
              <w:rPr>
                <w:sz w:val="20"/>
                <w:szCs w:val="20"/>
                <w:color w:val="auto"/>
              </w:rPr>
            </w:pPr>
            <w:r>
              <w:rPr>
                <w:rFonts w:ascii="Arial" w:cs="Arial" w:eastAsia="Arial" w:hAnsi="Arial"/>
                <w:sz w:val="15"/>
                <w:szCs w:val="15"/>
                <w:color w:val="auto"/>
              </w:rPr>
              <w:t>2,810</w:t>
            </w:r>
          </w:p>
        </w:tc>
        <w:tc>
          <w:tcPr>
            <w:tcW w:w="420" w:type="dxa"/>
            <w:vAlign w:val="bottom"/>
          </w:tcPr>
          <w:p>
            <w:pPr>
              <w:spacing w:after="0"/>
              <w:rPr>
                <w:sz w:val="13"/>
                <w:szCs w:val="13"/>
                <w:color w:val="auto"/>
              </w:rPr>
            </w:pPr>
          </w:p>
        </w:tc>
        <w:tc>
          <w:tcPr>
            <w:tcW w:w="420" w:type="dxa"/>
            <w:vAlign w:val="bottom"/>
          </w:tcPr>
          <w:p>
            <w:pPr>
              <w:jc w:val="right"/>
              <w:spacing w:after="0" w:line="150"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color w:val="auto"/>
              </w:rPr>
              <w:t>Acquisitions</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7,364</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4,098</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color w:val="auto"/>
              </w:rPr>
              <w:t>Dispositions</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(27,373)</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5"/>
                <w:szCs w:val="15"/>
                <w:color w:val="auto"/>
              </w:rPr>
              <w:t>Foreign currency exchange rate changes and other</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(583)</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June 30, 2012</w:t>
            </w:r>
          </w:p>
        </w:tc>
        <w:tc>
          <w:tcPr>
            <w:tcW w:w="180" w:type="dxa"/>
            <w:vAlign w:val="bottom"/>
          </w:tcPr>
          <w:p>
            <w:pPr>
              <w:spacing w:after="0"/>
              <w:rPr>
                <w:sz w:val="14"/>
                <w:szCs w:val="14"/>
                <w:color w:val="auto"/>
              </w:rPr>
            </w:pPr>
          </w:p>
        </w:tc>
        <w:tc>
          <w:tcPr>
            <w:tcW w:w="102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auto"/>
              </w:rPr>
              <w:t>1,087,531</w:t>
            </w:r>
          </w:p>
        </w:tc>
        <w:tc>
          <w:tcPr>
            <w:tcW w:w="22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85,488</w:t>
            </w:r>
          </w:p>
        </w:tc>
        <w:tc>
          <w:tcPr>
            <w:tcW w:w="24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85,281</w:t>
            </w:r>
          </w:p>
        </w:tc>
        <w:tc>
          <w:tcPr>
            <w:tcW w:w="200" w:type="dxa"/>
            <w:vAlign w:val="bottom"/>
          </w:tcPr>
          <w:p>
            <w:pPr>
              <w:spacing w:after="0"/>
              <w:rPr>
                <w:sz w:val="14"/>
                <w:szCs w:val="14"/>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203,165</w:t>
            </w:r>
          </w:p>
        </w:tc>
        <w:tc>
          <w:tcPr>
            <w:tcW w:w="20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100,152</w:t>
            </w:r>
          </w:p>
        </w:tc>
        <w:tc>
          <w:tcPr>
            <w:tcW w:w="4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w:t>
            </w:r>
          </w:p>
        </w:tc>
        <w:tc>
          <w:tcPr>
            <w:tcW w:w="0" w:type="dxa"/>
            <w:vAlign w:val="bottom"/>
          </w:tcPr>
          <w:p>
            <w:pPr>
              <w:spacing w:after="0"/>
              <w:rPr>
                <w:sz w:val="1"/>
                <w:szCs w:val="1"/>
                <w:color w:val="auto"/>
              </w:rPr>
            </w:pPr>
          </w:p>
        </w:tc>
      </w:tr>
      <w:tr>
        <w:trPr>
          <w:trHeight w:val="156"/>
        </w:trPr>
        <w:tc>
          <w:tcPr>
            <w:tcW w:w="4460" w:type="dxa"/>
            <w:vAlign w:val="bottom"/>
          </w:tcPr>
          <w:p>
            <w:pPr>
              <w:ind w:left="220"/>
              <w:spacing w:after="0" w:line="156" w:lineRule="exact"/>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4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(65,772)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(97,342)</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w:t>
            </w:r>
          </w:p>
        </w:tc>
        <w:tc>
          <w:tcPr>
            <w:tcW w:w="0" w:type="dxa"/>
            <w:vAlign w:val="bottom"/>
          </w:tcPr>
          <w:p>
            <w:pPr>
              <w:spacing w:after="0"/>
              <w:rPr>
                <w:sz w:val="1"/>
                <w:szCs w:val="1"/>
                <w:color w:val="auto"/>
              </w:rPr>
            </w:pPr>
          </w:p>
        </w:tc>
      </w:tr>
      <w:tr>
        <w:trPr>
          <w:trHeight w:val="166"/>
        </w:trPr>
        <w:tc>
          <w:tcPr>
            <w:tcW w:w="44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1,087,531</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85,488</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19,509</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203,165</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2,810</w:t>
            </w:r>
          </w:p>
        </w:tc>
        <w:tc>
          <w:tcPr>
            <w:tcW w:w="42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changes in carrying amount of goodwill at the Company’s education division for the six months ended June 30, 2012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488"/>
              <w:spacing w:after="0"/>
              <w:rPr>
                <w:sz w:val="20"/>
                <w:szCs w:val="20"/>
                <w:color w:val="auto"/>
              </w:rPr>
            </w:pPr>
            <w:r>
              <w:rPr>
                <w:rFonts w:ascii="Arial" w:cs="Arial" w:eastAsia="Arial" w:hAnsi="Arial"/>
                <w:sz w:val="12"/>
                <w:szCs w:val="12"/>
                <w:b w:val="1"/>
                <w:bCs w:val="1"/>
                <w:color w:val="auto"/>
              </w:rPr>
              <w:t>Higher</w:t>
            </w:r>
          </w:p>
        </w:tc>
        <w:tc>
          <w:tcPr>
            <w:tcW w:w="260" w:type="dxa"/>
            <w:vAlign w:val="bottom"/>
          </w:tcPr>
          <w:p>
            <w:pPr>
              <w:spacing w:after="0"/>
              <w:rPr>
                <w:sz w:val="12"/>
                <w:szCs w:val="12"/>
                <w:color w:val="auto"/>
              </w:rPr>
            </w:pPr>
          </w:p>
        </w:tc>
        <w:tc>
          <w:tcPr>
            <w:tcW w:w="1120" w:type="dxa"/>
            <w:vAlign w:val="bottom"/>
          </w:tcPr>
          <w:p>
            <w:pPr>
              <w:jc w:val="right"/>
              <w:ind w:right="548"/>
              <w:spacing w:after="0"/>
              <w:rPr>
                <w:sz w:val="20"/>
                <w:szCs w:val="20"/>
                <w:color w:val="auto"/>
              </w:rPr>
            </w:pPr>
            <w:r>
              <w:rPr>
                <w:rFonts w:ascii="Arial" w:cs="Arial" w:eastAsia="Arial" w:hAnsi="Arial"/>
                <w:sz w:val="12"/>
                <w:szCs w:val="12"/>
                <w:b w:val="1"/>
                <w:bCs w:val="1"/>
                <w:color w:val="auto"/>
              </w:rPr>
              <w:t>Test</w:t>
            </w:r>
          </w:p>
        </w:tc>
        <w:tc>
          <w:tcPr>
            <w:tcW w:w="260" w:type="dxa"/>
            <w:vAlign w:val="bottom"/>
          </w:tcPr>
          <w:p>
            <w:pPr>
              <w:spacing w:after="0"/>
              <w:rPr>
                <w:sz w:val="12"/>
                <w:szCs w:val="12"/>
                <w:color w:val="auto"/>
              </w:rPr>
            </w:pPr>
          </w:p>
        </w:tc>
        <w:tc>
          <w:tcPr>
            <w:tcW w:w="1100" w:type="dxa"/>
            <w:vAlign w:val="bottom"/>
          </w:tcPr>
          <w:p>
            <w:pPr>
              <w:jc w:val="right"/>
              <w:ind w:right="448"/>
              <w:spacing w:after="0"/>
              <w:rPr>
                <w:sz w:val="20"/>
                <w:szCs w:val="20"/>
                <w:color w:val="auto"/>
              </w:rPr>
            </w:pPr>
            <w:r>
              <w:rPr>
                <w:rFonts w:ascii="Arial" w:cs="Arial" w:eastAsia="Arial" w:hAnsi="Arial"/>
                <w:sz w:val="12"/>
                <w:szCs w:val="12"/>
                <w:b w:val="1"/>
                <w:bCs w:val="1"/>
                <w:color w:val="auto"/>
              </w:rPr>
              <w:t>Kaplan</w:t>
            </w:r>
          </w:p>
        </w:tc>
        <w:tc>
          <w:tcPr>
            <w:tcW w:w="300" w:type="dxa"/>
            <w:vAlign w:val="bottom"/>
          </w:tcPr>
          <w:p>
            <w:pPr>
              <w:spacing w:after="0"/>
              <w:rPr>
                <w:sz w:val="12"/>
                <w:szCs w:val="12"/>
                <w:color w:val="auto"/>
              </w:rPr>
            </w:pPr>
          </w:p>
        </w:tc>
        <w:tc>
          <w:tcPr>
            <w:tcW w:w="1060" w:type="dxa"/>
            <w:vAlign w:val="bottom"/>
          </w:tcPr>
          <w:p>
            <w:pPr>
              <w:jc w:val="right"/>
              <w:ind w:right="448"/>
              <w:spacing w:after="0"/>
              <w:rPr>
                <w:sz w:val="20"/>
                <w:szCs w:val="20"/>
                <w:color w:val="auto"/>
              </w:rPr>
            </w:pPr>
            <w:r>
              <w:rPr>
                <w:rFonts w:ascii="Arial" w:cs="Arial" w:eastAsia="Arial" w:hAnsi="Arial"/>
                <w:sz w:val="12"/>
                <w:szCs w:val="12"/>
                <w:b w:val="1"/>
                <w:bCs w:val="1"/>
                <w:color w:val="auto"/>
              </w:rPr>
              <w:t>Kaplan</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2"/>
                <w:szCs w:val="12"/>
                <w:b w:val="1"/>
                <w:bCs w:val="1"/>
                <w:color w:val="auto"/>
              </w:rPr>
              <w:t>Education</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Preparation</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2"/>
                <w:szCs w:val="12"/>
                <w:b w:val="1"/>
                <w:bCs w:val="1"/>
                <w:color w:val="auto"/>
                <w:w w:val="99"/>
              </w:rPr>
              <w:t>International</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2"/>
                <w:szCs w:val="12"/>
                <w:b w:val="1"/>
                <w:bCs w:val="1"/>
                <w:color w:val="auto"/>
              </w:rPr>
              <w:t>Ventures</w:t>
            </w: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December 31, 2011</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88"/>
              <w:spacing w:after="0"/>
              <w:rPr>
                <w:sz w:val="20"/>
                <w:szCs w:val="20"/>
                <w:color w:val="auto"/>
              </w:rPr>
            </w:pPr>
            <w:r>
              <w:rPr>
                <w:rFonts w:ascii="Arial" w:cs="Arial" w:eastAsia="Arial" w:hAnsi="Arial"/>
                <w:sz w:val="15"/>
                <w:szCs w:val="15"/>
                <w:color w:val="auto"/>
              </w:rPr>
              <w:t>409,128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8"/>
              <w:spacing w:after="0"/>
              <w:rPr>
                <w:sz w:val="20"/>
                <w:szCs w:val="20"/>
                <w:color w:val="auto"/>
              </w:rPr>
            </w:pPr>
            <w:r>
              <w:rPr>
                <w:rFonts w:ascii="Arial" w:cs="Arial" w:eastAsia="Arial" w:hAnsi="Arial"/>
                <w:sz w:val="15"/>
                <w:szCs w:val="15"/>
                <w:color w:val="auto"/>
              </w:rPr>
              <w:t>152,187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8"/>
              <w:spacing w:after="0"/>
              <w:rPr>
                <w:sz w:val="20"/>
                <w:szCs w:val="20"/>
                <w:color w:val="auto"/>
              </w:rPr>
            </w:pPr>
            <w:r>
              <w:rPr>
                <w:rFonts w:ascii="Arial" w:cs="Arial" w:eastAsia="Arial" w:hAnsi="Arial"/>
                <w:sz w:val="15"/>
                <w:szCs w:val="15"/>
                <w:color w:val="auto"/>
              </w:rPr>
              <w:t>515,936</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8"/>
              <w:spacing w:after="0"/>
              <w:rPr>
                <w:sz w:val="20"/>
                <w:szCs w:val="20"/>
                <w:color w:val="auto"/>
              </w:rPr>
            </w:pPr>
            <w:r>
              <w:rPr>
                <w:rFonts w:ascii="Arial" w:cs="Arial" w:eastAsia="Arial" w:hAnsi="Arial"/>
                <w:sz w:val="15"/>
                <w:szCs w:val="15"/>
                <w:color w:val="auto"/>
              </w:rPr>
              <w:t>39,364</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1,116</w:t>
            </w:r>
          </w:p>
        </w:tc>
        <w:tc>
          <w:tcPr>
            <w:tcW w:w="0" w:type="dxa"/>
            <w:vAlign w:val="bottom"/>
          </w:tcPr>
          <w:p>
            <w:pPr>
              <w:spacing w:after="0"/>
              <w:rPr>
                <w:sz w:val="1"/>
                <w:szCs w:val="1"/>
                <w:color w:val="auto"/>
              </w:rPr>
            </w:pPr>
          </w:p>
        </w:tc>
      </w:tr>
      <w:tr>
        <w:trPr>
          <w:trHeight w:val="172"/>
        </w:trPr>
        <w:tc>
          <w:tcPr>
            <w:tcW w:w="45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(8,492)</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50"/>
        </w:trPr>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88"/>
              <w:spacing w:after="0" w:line="150" w:lineRule="exact"/>
              <w:rPr>
                <w:sz w:val="20"/>
                <w:szCs w:val="20"/>
                <w:color w:val="auto"/>
              </w:rPr>
            </w:pPr>
            <w:r>
              <w:rPr>
                <w:rFonts w:ascii="Arial" w:cs="Arial" w:eastAsia="Arial" w:hAnsi="Arial"/>
                <w:sz w:val="15"/>
                <w:szCs w:val="15"/>
                <w:color w:val="auto"/>
              </w:rPr>
              <w:t>409,128</w:t>
            </w:r>
          </w:p>
        </w:tc>
        <w:tc>
          <w:tcPr>
            <w:tcW w:w="260" w:type="dxa"/>
            <w:vAlign w:val="bottom"/>
          </w:tcPr>
          <w:p>
            <w:pPr>
              <w:spacing w:after="0"/>
              <w:rPr>
                <w:sz w:val="13"/>
                <w:szCs w:val="13"/>
                <w:color w:val="auto"/>
              </w:rPr>
            </w:pPr>
          </w:p>
        </w:tc>
        <w:tc>
          <w:tcPr>
            <w:tcW w:w="1120" w:type="dxa"/>
            <w:vAlign w:val="bottom"/>
          </w:tcPr>
          <w:p>
            <w:pPr>
              <w:jc w:val="right"/>
              <w:ind w:right="88"/>
              <w:spacing w:after="0" w:line="150" w:lineRule="exact"/>
              <w:rPr>
                <w:sz w:val="20"/>
                <w:szCs w:val="20"/>
                <w:color w:val="auto"/>
              </w:rPr>
            </w:pPr>
            <w:r>
              <w:rPr>
                <w:rFonts w:ascii="Arial" w:cs="Arial" w:eastAsia="Arial" w:hAnsi="Arial"/>
                <w:sz w:val="15"/>
                <w:szCs w:val="15"/>
                <w:color w:val="auto"/>
              </w:rPr>
              <w:t>152,187</w:t>
            </w:r>
          </w:p>
        </w:tc>
        <w:tc>
          <w:tcPr>
            <w:tcW w:w="260" w:type="dxa"/>
            <w:vAlign w:val="bottom"/>
          </w:tcPr>
          <w:p>
            <w:pPr>
              <w:spacing w:after="0"/>
              <w:rPr>
                <w:sz w:val="13"/>
                <w:szCs w:val="13"/>
                <w:color w:val="auto"/>
              </w:rPr>
            </w:pPr>
          </w:p>
        </w:tc>
        <w:tc>
          <w:tcPr>
            <w:tcW w:w="1100" w:type="dxa"/>
            <w:vAlign w:val="bottom"/>
          </w:tcPr>
          <w:p>
            <w:pPr>
              <w:jc w:val="right"/>
              <w:ind w:right="68"/>
              <w:spacing w:after="0" w:line="150" w:lineRule="exact"/>
              <w:rPr>
                <w:sz w:val="20"/>
                <w:szCs w:val="20"/>
                <w:color w:val="auto"/>
              </w:rPr>
            </w:pPr>
            <w:r>
              <w:rPr>
                <w:rFonts w:ascii="Arial" w:cs="Arial" w:eastAsia="Arial" w:hAnsi="Arial"/>
                <w:sz w:val="15"/>
                <w:szCs w:val="15"/>
                <w:color w:val="auto"/>
              </w:rPr>
              <w:t>515,936</w:t>
            </w:r>
          </w:p>
        </w:tc>
        <w:tc>
          <w:tcPr>
            <w:tcW w:w="300" w:type="dxa"/>
            <w:vAlign w:val="bottom"/>
          </w:tcPr>
          <w:p>
            <w:pPr>
              <w:spacing w:after="0"/>
              <w:rPr>
                <w:sz w:val="13"/>
                <w:szCs w:val="13"/>
                <w:color w:val="auto"/>
              </w:rPr>
            </w:pPr>
          </w:p>
        </w:tc>
        <w:tc>
          <w:tcPr>
            <w:tcW w:w="1060" w:type="dxa"/>
            <w:vAlign w:val="bottom"/>
          </w:tcPr>
          <w:p>
            <w:pPr>
              <w:jc w:val="right"/>
              <w:ind w:right="68"/>
              <w:spacing w:after="0" w:line="150" w:lineRule="exact"/>
              <w:rPr>
                <w:sz w:val="20"/>
                <w:szCs w:val="20"/>
                <w:color w:val="auto"/>
              </w:rPr>
            </w:pPr>
            <w:r>
              <w:rPr>
                <w:rFonts w:ascii="Arial" w:cs="Arial" w:eastAsia="Arial" w:hAnsi="Arial"/>
                <w:sz w:val="15"/>
                <w:szCs w:val="15"/>
                <w:color w:val="auto"/>
              </w:rPr>
              <w:t>30,872</w:t>
            </w:r>
          </w:p>
        </w:tc>
        <w:tc>
          <w:tcPr>
            <w:tcW w:w="360" w:type="dxa"/>
            <w:vAlign w:val="bottom"/>
          </w:tcPr>
          <w:p>
            <w:pPr>
              <w:spacing w:after="0"/>
              <w:rPr>
                <w:sz w:val="13"/>
                <w:szCs w:val="13"/>
                <w:color w:val="auto"/>
              </w:rPr>
            </w:pPr>
          </w:p>
        </w:tc>
        <w:tc>
          <w:tcPr>
            <w:tcW w:w="520" w:type="dxa"/>
            <w:vAlign w:val="bottom"/>
          </w:tcPr>
          <w:p>
            <w:pPr>
              <w:jc w:val="right"/>
              <w:spacing w:after="0" w:line="150" w:lineRule="exact"/>
              <w:rPr>
                <w:sz w:val="20"/>
                <w:szCs w:val="20"/>
                <w:color w:val="auto"/>
              </w:rPr>
            </w:pPr>
            <w:r>
              <w:rPr>
                <w:rFonts w:ascii="Arial" w:cs="Arial" w:eastAsia="Arial" w:hAnsi="Arial"/>
                <w:sz w:val="15"/>
                <w:szCs w:val="15"/>
                <w:color w:val="auto"/>
              </w:rPr>
              <w:t>1,108</w:t>
            </w:r>
          </w:p>
        </w:tc>
        <w:tc>
          <w:tcPr>
            <w:tcW w:w="0" w:type="dxa"/>
            <w:vAlign w:val="bottom"/>
          </w:tcPr>
          <w:p>
            <w:pPr>
              <w:spacing w:after="0"/>
              <w:rPr>
                <w:sz w:val="1"/>
                <w:szCs w:val="1"/>
                <w:color w:val="auto"/>
              </w:rPr>
            </w:pPr>
          </w:p>
        </w:tc>
      </w:tr>
      <w:tr>
        <w:trPr>
          <w:trHeight w:val="174"/>
        </w:trPr>
        <w:tc>
          <w:tcPr>
            <w:tcW w:w="4560" w:type="dxa"/>
            <w:vAlign w:val="bottom"/>
          </w:tcPr>
          <w:p>
            <w:pPr>
              <w:spacing w:after="0"/>
              <w:rPr>
                <w:sz w:val="20"/>
                <w:szCs w:val="20"/>
                <w:color w:val="auto"/>
              </w:rPr>
            </w:pPr>
            <w:r>
              <w:rPr>
                <w:rFonts w:ascii="Arial" w:cs="Arial" w:eastAsia="Arial" w:hAnsi="Arial"/>
                <w:sz w:val="15"/>
                <w:szCs w:val="15"/>
                <w:color w:val="auto"/>
              </w:rPr>
              <w:t>Acquisitions</w:t>
            </w:r>
          </w:p>
        </w:tc>
        <w:tc>
          <w:tcPr>
            <w:tcW w:w="22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5"/>
                <w:szCs w:val="15"/>
                <w:b w:val="1"/>
                <w:bCs w:val="1"/>
                <w:color w:val="auto"/>
              </w:rPr>
              <w:t>7,364</w:t>
            </w:r>
          </w:p>
        </w:tc>
        <w:tc>
          <w:tcPr>
            <w:tcW w:w="30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0" w:type="dxa"/>
            <w:vAlign w:val="bottom"/>
          </w:tcPr>
          <w:p>
            <w:pPr>
              <w:spacing w:after="0"/>
              <w:rPr>
                <w:sz w:val="1"/>
                <w:szCs w:val="1"/>
                <w:color w:val="auto"/>
              </w:rPr>
            </w:pPr>
          </w:p>
        </w:tc>
      </w:tr>
      <w:tr>
        <w:trPr>
          <w:trHeight w:val="174"/>
        </w:trPr>
        <w:tc>
          <w:tcPr>
            <w:tcW w:w="4560" w:type="dxa"/>
            <w:vAlign w:val="bottom"/>
          </w:tcPr>
          <w:p>
            <w:pPr>
              <w:spacing w:after="0"/>
              <w:rPr>
                <w:sz w:val="20"/>
                <w:szCs w:val="20"/>
                <w:color w:val="auto"/>
              </w:rPr>
            </w:pPr>
            <w:r>
              <w:rPr>
                <w:rFonts w:ascii="Arial" w:cs="Arial" w:eastAsia="Arial" w:hAnsi="Arial"/>
                <w:sz w:val="15"/>
                <w:szCs w:val="15"/>
                <w:color w:val="auto"/>
              </w:rPr>
              <w:t>Dispositions</w:t>
            </w:r>
          </w:p>
        </w:tc>
        <w:tc>
          <w:tcPr>
            <w:tcW w:w="22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5"/>
                <w:szCs w:val="15"/>
                <w:b w:val="1"/>
                <w:bCs w:val="1"/>
                <w:color w:val="auto"/>
              </w:rPr>
              <w:t>(27,373)</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(27</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5"/>
                <w:szCs w:val="15"/>
                <w:color w:val="auto"/>
              </w:rPr>
              <w:t>Foreign currency exchange rate changes and other</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623</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(1,185)</w:t>
            </w:r>
          </w:p>
        </w:tc>
        <w:tc>
          <w:tcPr>
            <w:tcW w:w="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June 30, 2012</w:t>
            </w:r>
          </w:p>
        </w:tc>
        <w:tc>
          <w:tcPr>
            <w:tcW w:w="220" w:type="dxa"/>
            <w:vAlign w:val="bottom"/>
          </w:tcPr>
          <w:p>
            <w:pPr>
              <w:spacing w:after="0"/>
              <w:rPr>
                <w:sz w:val="14"/>
                <w:szCs w:val="14"/>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409,107</w:t>
            </w:r>
          </w:p>
        </w:tc>
        <w:tc>
          <w:tcPr>
            <w:tcW w:w="260" w:type="dxa"/>
            <w:vAlign w:val="bottom"/>
          </w:tcPr>
          <w:p>
            <w:pPr>
              <w:spacing w:after="0"/>
              <w:rPr>
                <w:sz w:val="14"/>
                <w:szCs w:val="14"/>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152,187</w:t>
            </w:r>
          </w:p>
        </w:tc>
        <w:tc>
          <w:tcPr>
            <w:tcW w:w="260" w:type="dxa"/>
            <w:vAlign w:val="bottom"/>
          </w:tcPr>
          <w:p>
            <w:pPr>
              <w:spacing w:after="0"/>
              <w:rPr>
                <w:sz w:val="14"/>
                <w:szCs w:val="14"/>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523,923</w:t>
            </w:r>
          </w:p>
        </w:tc>
        <w:tc>
          <w:tcPr>
            <w:tcW w:w="300" w:type="dxa"/>
            <w:vAlign w:val="bottom"/>
          </w:tcPr>
          <w:p>
            <w:pPr>
              <w:spacing w:after="0"/>
              <w:rPr>
                <w:sz w:val="14"/>
                <w:szCs w:val="14"/>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2,314</w:t>
            </w:r>
          </w:p>
        </w:tc>
        <w:tc>
          <w:tcPr>
            <w:tcW w:w="3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1,087</w:t>
            </w:r>
          </w:p>
        </w:tc>
        <w:tc>
          <w:tcPr>
            <w:tcW w:w="0" w:type="dxa"/>
            <w:vAlign w:val="bottom"/>
          </w:tcPr>
          <w:p>
            <w:pPr>
              <w:spacing w:after="0"/>
              <w:rPr>
                <w:sz w:val="1"/>
                <w:szCs w:val="1"/>
                <w:color w:val="auto"/>
              </w:rPr>
            </w:pPr>
          </w:p>
        </w:tc>
      </w:tr>
      <w:tr>
        <w:trPr>
          <w:trHeight w:val="156"/>
        </w:trPr>
        <w:tc>
          <w:tcPr>
            <w:tcW w:w="4560" w:type="dxa"/>
            <w:vAlign w:val="bottom"/>
          </w:tcPr>
          <w:p>
            <w:pPr>
              <w:ind w:left="220"/>
              <w:spacing w:after="0" w:line="156" w:lineRule="exact"/>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22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409,107</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152,187</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523,923</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2,314</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1,087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Other intangible assets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2"/>
                <w:szCs w:val="12"/>
                <w:b w:val="1"/>
                <w:bCs w:val="1"/>
                <w:color w:val="auto"/>
              </w:rPr>
              <w:t>As of June 30, 2012</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As of December 31, 2011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ind w:right="128"/>
              <w:spacing w:after="0" w:line="114" w:lineRule="exact"/>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jc w:val="center"/>
              <w:ind w:right="210"/>
              <w:spacing w:after="0" w:line="114" w:lineRule="exact"/>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9"/>
                <w:szCs w:val="9"/>
                <w:color w:val="auto"/>
              </w:rPr>
            </w:pPr>
          </w:p>
        </w:tc>
        <w:tc>
          <w:tcPr>
            <w:tcW w:w="920" w:type="dxa"/>
            <w:vAlign w:val="bottom"/>
          </w:tcPr>
          <w:p>
            <w:pPr>
              <w:jc w:val="center"/>
              <w:ind w:right="109"/>
              <w:spacing w:after="0" w:line="114" w:lineRule="exact"/>
              <w:rPr>
                <w:sz w:val="20"/>
                <w:szCs w:val="20"/>
                <w:color w:val="auto"/>
              </w:rPr>
            </w:pPr>
            <w:r>
              <w:rPr>
                <w:rFonts w:ascii="Arial" w:cs="Arial" w:eastAsia="Arial" w:hAnsi="Arial"/>
                <w:sz w:val="12"/>
                <w:szCs w:val="12"/>
                <w:color w:val="auto"/>
              </w:rPr>
              <w:t>Gross</w:t>
            </w: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2"/>
                <w:szCs w:val="12"/>
                <w:color w:val="auto"/>
              </w:rPr>
              <w:t>Ne</w:t>
            </w: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300" w:type="dxa"/>
            <w:vAlign w:val="bottom"/>
          </w:tcPr>
          <w:p>
            <w:pPr>
              <w:jc w:val="center"/>
              <w:ind w:left="69"/>
              <w:spacing w:after="0" w:line="137" w:lineRule="exact"/>
              <w:rPr>
                <w:sz w:val="20"/>
                <w:szCs w:val="20"/>
                <w:color w:val="auto"/>
              </w:rPr>
            </w:pPr>
            <w:r>
              <w:rPr>
                <w:rFonts w:ascii="Arial" w:cs="Arial" w:eastAsia="Arial" w:hAnsi="Arial"/>
                <w:sz w:val="12"/>
                <w:szCs w:val="12"/>
                <w:b w:val="1"/>
                <w:bCs w:val="1"/>
                <w:color w:val="auto"/>
              </w:rPr>
              <w:t>Useful Life</w:t>
            </w:r>
          </w:p>
        </w:tc>
        <w:tc>
          <w:tcPr>
            <w:tcW w:w="200" w:type="dxa"/>
            <w:vAlign w:val="bottom"/>
          </w:tcPr>
          <w:p>
            <w:pPr>
              <w:spacing w:after="0"/>
              <w:rPr>
                <w:sz w:val="11"/>
                <w:szCs w:val="11"/>
                <w:color w:val="auto"/>
              </w:rPr>
            </w:pPr>
          </w:p>
        </w:tc>
        <w:tc>
          <w:tcPr>
            <w:tcW w:w="960" w:type="dxa"/>
            <w:vAlign w:val="bottom"/>
          </w:tcPr>
          <w:p>
            <w:pPr>
              <w:jc w:val="center"/>
              <w:ind w:right="128"/>
              <w:spacing w:after="0" w:line="137" w:lineRule="exact"/>
              <w:rPr>
                <w:sz w:val="20"/>
                <w:szCs w:val="20"/>
                <w:color w:val="auto"/>
              </w:rPr>
            </w:pPr>
            <w:r>
              <w:rPr>
                <w:rFonts w:ascii="Arial" w:cs="Arial" w:eastAsia="Arial" w:hAnsi="Arial"/>
                <w:sz w:val="12"/>
                <w:szCs w:val="12"/>
                <w:b w:val="1"/>
                <w:bCs w:val="1"/>
                <w:color w:val="auto"/>
              </w:rPr>
              <w:t>Carrying</w:t>
            </w:r>
          </w:p>
        </w:tc>
        <w:tc>
          <w:tcPr>
            <w:tcW w:w="260" w:type="dxa"/>
            <w:vAlign w:val="bottom"/>
          </w:tcPr>
          <w:p>
            <w:pPr>
              <w:spacing w:after="0"/>
              <w:rPr>
                <w:sz w:val="11"/>
                <w:szCs w:val="11"/>
                <w:color w:val="auto"/>
              </w:rPr>
            </w:pPr>
          </w:p>
        </w:tc>
        <w:tc>
          <w:tcPr>
            <w:tcW w:w="1060" w:type="dxa"/>
            <w:vAlign w:val="bottom"/>
          </w:tcPr>
          <w:p>
            <w:pPr>
              <w:jc w:val="right"/>
              <w:ind w:right="149"/>
              <w:spacing w:after="0" w:line="137"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11"/>
                <w:szCs w:val="11"/>
                <w:color w:val="auto"/>
              </w:rPr>
            </w:pPr>
          </w:p>
        </w:tc>
        <w:tc>
          <w:tcPr>
            <w:tcW w:w="96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Carrying</w:t>
            </w:r>
          </w:p>
        </w:tc>
        <w:tc>
          <w:tcPr>
            <w:tcW w:w="200" w:type="dxa"/>
            <w:vAlign w:val="bottom"/>
          </w:tcPr>
          <w:p>
            <w:pPr>
              <w:spacing w:after="0"/>
              <w:rPr>
                <w:sz w:val="11"/>
                <w:szCs w:val="11"/>
                <w:color w:val="auto"/>
              </w:rPr>
            </w:pPr>
          </w:p>
        </w:tc>
        <w:tc>
          <w:tcPr>
            <w:tcW w:w="920" w:type="dxa"/>
            <w:vAlign w:val="bottom"/>
          </w:tcPr>
          <w:p>
            <w:pPr>
              <w:jc w:val="center"/>
              <w:ind w:right="109"/>
              <w:spacing w:after="0" w:line="137" w:lineRule="exact"/>
              <w:rPr>
                <w:sz w:val="20"/>
                <w:szCs w:val="20"/>
                <w:color w:val="auto"/>
              </w:rPr>
            </w:pPr>
            <w:r>
              <w:rPr>
                <w:rFonts w:ascii="Arial" w:cs="Arial" w:eastAsia="Arial" w:hAnsi="Arial"/>
                <w:sz w:val="12"/>
                <w:szCs w:val="12"/>
                <w:color w:val="auto"/>
              </w:rPr>
              <w:t>Carrying</w:t>
            </w:r>
          </w:p>
        </w:tc>
        <w:tc>
          <w:tcPr>
            <w:tcW w:w="260" w:type="dxa"/>
            <w:vAlign w:val="bottom"/>
          </w:tcPr>
          <w:p>
            <w:pPr>
              <w:spacing w:after="0"/>
              <w:rPr>
                <w:sz w:val="11"/>
                <w:szCs w:val="11"/>
                <w:color w:val="auto"/>
              </w:rPr>
            </w:pPr>
          </w:p>
        </w:tc>
        <w:tc>
          <w:tcPr>
            <w:tcW w:w="1080" w:type="dxa"/>
            <w:vAlign w:val="bottom"/>
          </w:tcPr>
          <w:p>
            <w:pPr>
              <w:jc w:val="right"/>
              <w:ind w:right="229"/>
              <w:spacing w:after="0" w:line="137" w:lineRule="exact"/>
              <w:rPr>
                <w:sz w:val="20"/>
                <w:szCs w:val="20"/>
                <w:color w:val="auto"/>
              </w:rPr>
            </w:pPr>
            <w:r>
              <w:rPr>
                <w:rFonts w:ascii="Arial" w:cs="Arial" w:eastAsia="Arial" w:hAnsi="Arial"/>
                <w:sz w:val="12"/>
                <w:szCs w:val="12"/>
                <w:color w:val="auto"/>
              </w:rPr>
              <w:t>Accumulated</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Carr</w:t>
            </w:r>
          </w:p>
        </w:tc>
        <w:tc>
          <w:tcPr>
            <w:tcW w:w="0" w:type="dxa"/>
            <w:vAlign w:val="bottom"/>
          </w:tcPr>
          <w:p>
            <w:pPr>
              <w:spacing w:after="0"/>
              <w:rPr>
                <w:sz w:val="1"/>
                <w:szCs w:val="1"/>
                <w:color w:val="auto"/>
              </w:rPr>
            </w:pPr>
          </w:p>
        </w:tc>
      </w:tr>
      <w:tr>
        <w:trPr>
          <w:trHeight w:val="151"/>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300" w:type="dxa"/>
            <w:vAlign w:val="bottom"/>
            <w:tcBorders>
              <w:bottom w:val="single" w:sz="8" w:color="auto"/>
            </w:tcBorders>
          </w:tcPr>
          <w:p>
            <w:pPr>
              <w:jc w:val="center"/>
              <w:ind w:left="89"/>
              <w:spacing w:after="0"/>
              <w:rPr>
                <w:sz w:val="20"/>
                <w:szCs w:val="20"/>
                <w:color w:val="auto"/>
              </w:rPr>
            </w:pPr>
            <w:r>
              <w:rPr>
                <w:rFonts w:ascii="Arial" w:cs="Arial" w:eastAsia="Arial" w:hAnsi="Arial"/>
                <w:sz w:val="12"/>
                <w:szCs w:val="12"/>
                <w:b w:val="1"/>
                <w:bCs w:val="1"/>
                <w:color w:val="auto"/>
              </w:rPr>
              <w:t>Range</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2"/>
                <w:szCs w:val="12"/>
                <w:b w:val="1"/>
                <w:bCs w:val="1"/>
                <w:color w:val="auto"/>
              </w:rPr>
              <w:t>Amount</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color w:val="auto"/>
              </w:rPr>
              <w:t>Amount</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color w:val="auto"/>
              </w:rPr>
              <w:t>Amortization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Amo</w:t>
            </w:r>
          </w:p>
        </w:tc>
        <w:tc>
          <w:tcPr>
            <w:tcW w:w="0" w:type="dxa"/>
            <w:vAlign w:val="bottom"/>
          </w:tcPr>
          <w:p>
            <w:pPr>
              <w:spacing w:after="0"/>
              <w:rPr>
                <w:sz w:val="1"/>
                <w:szCs w:val="1"/>
                <w:color w:val="auto"/>
              </w:rPr>
            </w:pPr>
          </w:p>
        </w:tc>
      </w:tr>
      <w:tr>
        <w:trPr>
          <w:trHeight w:val="168"/>
        </w:trPr>
        <w:tc>
          <w:tcPr>
            <w:tcW w:w="2940" w:type="dxa"/>
            <w:vAlign w:val="bottom"/>
          </w:tcPr>
          <w:p>
            <w:pPr>
              <w:spacing w:after="0" w:line="168" w:lineRule="exact"/>
              <w:rPr>
                <w:sz w:val="20"/>
                <w:szCs w:val="20"/>
                <w:color w:val="auto"/>
              </w:rPr>
            </w:pPr>
            <w:r>
              <w:rPr>
                <w:rFonts w:ascii="Arial" w:cs="Arial" w:eastAsia="Arial" w:hAnsi="Arial"/>
                <w:sz w:val="15"/>
                <w:szCs w:val="15"/>
                <w:b w:val="1"/>
                <w:bCs w:val="1"/>
                <w:color w:val="auto"/>
              </w:rPr>
              <w:t>Amortized Intangible Assets</w:t>
            </w:r>
          </w:p>
        </w:tc>
        <w:tc>
          <w:tcPr>
            <w:tcW w:w="1300" w:type="dxa"/>
            <w:vAlign w:val="bottom"/>
            <w:vMerge w:val="restart"/>
          </w:tcPr>
          <w:p>
            <w:pPr>
              <w:jc w:val="center"/>
              <w:ind w:left="69"/>
              <w:spacing w:after="0"/>
              <w:rPr>
                <w:sz w:val="20"/>
                <w:szCs w:val="20"/>
                <w:color w:val="auto"/>
              </w:rPr>
            </w:pPr>
            <w:r>
              <w:rPr>
                <w:rFonts w:ascii="Arial" w:cs="Arial" w:eastAsia="Arial" w:hAnsi="Arial"/>
                <w:sz w:val="15"/>
                <w:szCs w:val="15"/>
                <w:b w:val="1"/>
                <w:bCs w:val="1"/>
                <w:color w:val="auto"/>
                <w:w w:val="98"/>
              </w:rPr>
              <w:t>2-5 years</w:t>
            </w:r>
          </w:p>
        </w:tc>
        <w:tc>
          <w:tcPr>
            <w:tcW w:w="2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14,297</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9"/>
              <w:spacing w:after="0"/>
              <w:rPr>
                <w:sz w:val="20"/>
                <w:szCs w:val="20"/>
                <w:color w:val="auto"/>
              </w:rPr>
            </w:pPr>
            <w:r>
              <w:rPr>
                <w:rFonts w:ascii="Arial" w:cs="Arial" w:eastAsia="Arial" w:hAnsi="Arial"/>
                <w:sz w:val="15"/>
                <w:szCs w:val="15"/>
                <w:b w:val="1"/>
                <w:bCs w:val="1"/>
                <w:color w:val="auto"/>
              </w:rPr>
              <w:t>11,633</w:t>
            </w:r>
          </w:p>
        </w:tc>
        <w:tc>
          <w:tcPr>
            <w:tcW w:w="24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vMerge w:val="restart"/>
          </w:tcPr>
          <w:p>
            <w:pPr>
              <w:jc w:val="right"/>
              <w:ind w:right="90"/>
              <w:spacing w:after="0"/>
              <w:rPr>
                <w:sz w:val="20"/>
                <w:szCs w:val="20"/>
                <w:color w:val="auto"/>
              </w:rPr>
            </w:pPr>
            <w:r>
              <w:rPr>
                <w:rFonts w:ascii="Arial" w:cs="Arial" w:eastAsia="Arial" w:hAnsi="Arial"/>
                <w:sz w:val="15"/>
                <w:szCs w:val="15"/>
                <w:b w:val="1"/>
                <w:bCs w:val="1"/>
                <w:color w:val="auto"/>
              </w:rPr>
              <w:t>2,664</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20"/>
              <w:spacing w:after="0" w:line="156" w:lineRule="exact"/>
              <w:rPr>
                <w:sz w:val="20"/>
                <w:szCs w:val="20"/>
                <w:color w:val="auto"/>
              </w:rPr>
            </w:pPr>
            <w:r>
              <w:rPr>
                <w:rFonts w:ascii="Arial" w:cs="Arial" w:eastAsia="Arial" w:hAnsi="Arial"/>
                <w:sz w:val="15"/>
                <w:szCs w:val="15"/>
                <w:color w:val="auto"/>
              </w:rPr>
              <w:t>Non-compete agreements</w:t>
            </w:r>
          </w:p>
        </w:tc>
        <w:tc>
          <w:tcPr>
            <w:tcW w:w="13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tcPr>
          <w:p>
            <w:pPr>
              <w:jc w:val="right"/>
              <w:ind w:right="46"/>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14,493</w:t>
            </w:r>
          </w:p>
        </w:tc>
        <w:tc>
          <w:tcPr>
            <w:tcW w:w="2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69"/>
              <w:spacing w:after="0" w:line="156" w:lineRule="exact"/>
              <w:rPr>
                <w:sz w:val="20"/>
                <w:szCs w:val="20"/>
                <w:color w:val="auto"/>
              </w:rPr>
            </w:pPr>
            <w:r>
              <w:rPr>
                <w:rFonts w:ascii="Arial" w:cs="Arial" w:eastAsia="Arial" w:hAnsi="Arial"/>
                <w:sz w:val="15"/>
                <w:szCs w:val="15"/>
                <w:color w:val="auto"/>
              </w:rPr>
              <w:t>10,764</w:t>
            </w:r>
          </w:p>
        </w:tc>
        <w:tc>
          <w:tcPr>
            <w:tcW w:w="560" w:type="dxa"/>
            <w:vAlign w:val="bottom"/>
          </w:tcPr>
          <w:p>
            <w:pPr>
              <w:jc w:val="right"/>
              <w:ind w:right="393"/>
              <w:spacing w:after="0" w:line="156" w:lineRule="exact"/>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Student and customer relationships</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2-10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65,851</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37,727</w:t>
            </w:r>
          </w:p>
        </w:tc>
        <w:tc>
          <w:tcPr>
            <w:tcW w:w="24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28,124</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75,734</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47,888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Databases and technology</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3-5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10,514</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8,974</w:t>
            </w:r>
          </w:p>
        </w:tc>
        <w:tc>
          <w:tcPr>
            <w:tcW w:w="24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1,540</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10,514</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8,159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Trade names and trademarks</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2-10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32,323</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16,592</w:t>
            </w:r>
          </w:p>
        </w:tc>
        <w:tc>
          <w:tcPr>
            <w:tcW w:w="24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15,731</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36,222</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18,936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20"/>
              <w:spacing w:after="0"/>
              <w:rPr>
                <w:sz w:val="20"/>
                <w:szCs w:val="20"/>
                <w:color w:val="auto"/>
              </w:rPr>
            </w:pPr>
            <w:r>
              <w:rPr>
                <w:rFonts w:ascii="Arial" w:cs="Arial" w:eastAsia="Arial" w:hAnsi="Arial"/>
                <w:sz w:val="15"/>
                <w:szCs w:val="15"/>
                <w:color w:val="auto"/>
              </w:rPr>
              <w:t>Other</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1-25 years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9,563</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6,835</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5"/>
                <w:szCs w:val="15"/>
                <w:b w:val="1"/>
                <w:bCs w:val="1"/>
                <w:color w:val="auto"/>
              </w:rPr>
              <w:t>2,728</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6,565</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132,548</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81,761</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90"/>
              <w:spacing w:after="0" w:line="167" w:lineRule="exact"/>
              <w:rPr>
                <w:sz w:val="20"/>
                <w:szCs w:val="20"/>
                <w:color w:val="auto"/>
              </w:rPr>
            </w:pPr>
            <w:r>
              <w:rPr>
                <w:rFonts w:ascii="Arial" w:cs="Arial" w:eastAsia="Arial" w:hAnsi="Arial"/>
                <w:sz w:val="15"/>
                <w:szCs w:val="15"/>
                <w:b w:val="1"/>
                <w:bCs w:val="1"/>
                <w:color w:val="auto"/>
              </w:rPr>
              <w:t>50,787</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146,934</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92,312</w:t>
            </w:r>
          </w:p>
        </w:tc>
        <w:tc>
          <w:tcPr>
            <w:tcW w:w="560" w:type="dxa"/>
            <w:vAlign w:val="bottom"/>
            <w:tcBorders>
              <w:bottom w:val="single" w:sz="8" w:color="auto"/>
            </w:tcBorders>
          </w:tcPr>
          <w:p>
            <w:pPr>
              <w:jc w:val="right"/>
              <w:ind w:right="393"/>
              <w:spacing w:after="0" w:line="167" w:lineRule="exact"/>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496,321</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20"/>
              <w:spacing w:after="0" w:line="156" w:lineRule="exact"/>
              <w:rPr>
                <w:sz w:val="20"/>
                <w:szCs w:val="20"/>
                <w:color w:val="auto"/>
              </w:rPr>
            </w:pPr>
            <w:r>
              <w:rPr>
                <w:rFonts w:ascii="Arial" w:cs="Arial" w:eastAsia="Arial" w:hAnsi="Arial"/>
                <w:sz w:val="15"/>
                <w:szCs w:val="15"/>
                <w:color w:val="auto"/>
              </w:rPr>
              <w:t>Franchise agreements</w:t>
            </w:r>
          </w:p>
        </w:tc>
        <w:tc>
          <w:tcPr>
            <w:tcW w:w="13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jc w:val="right"/>
              <w:ind w:right="46"/>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496,321</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Wireless licenses</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22,150</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22,150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Licensure and accreditation</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7,862</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7,862</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20"/>
              <w:spacing w:after="0"/>
              <w:rPr>
                <w:sz w:val="20"/>
                <w:szCs w:val="20"/>
                <w:color w:val="auto"/>
              </w:rPr>
            </w:pPr>
            <w:r>
              <w:rPr>
                <w:rFonts w:ascii="Arial" w:cs="Arial" w:eastAsia="Arial" w:hAnsi="Arial"/>
                <w:sz w:val="15"/>
                <w:szCs w:val="15"/>
                <w:color w:val="auto"/>
              </w:rPr>
              <w:t>Other</w:t>
            </w:r>
          </w:p>
        </w:tc>
        <w:tc>
          <w:tcPr>
            <w:tcW w:w="1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4,169</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4,308</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530,502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530,641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borrowings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right"/>
              <w:ind w:right="588"/>
              <w:spacing w:after="0"/>
              <w:rPr>
                <w:sz w:val="20"/>
                <w:szCs w:val="20"/>
                <w:color w:val="auto"/>
              </w:rPr>
            </w:pPr>
            <w:r>
              <w:rPr>
                <w:rFonts w:ascii="Arial" w:cs="Arial" w:eastAsia="Arial" w:hAnsi="Arial"/>
                <w:sz w:val="12"/>
                <w:szCs w:val="12"/>
                <w:b w:val="1"/>
                <w:bCs w:val="1"/>
                <w:color w:val="auto"/>
              </w:rPr>
              <w:t>June 30,</w:t>
            </w: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December 3</w:t>
            </w:r>
          </w:p>
        </w:tc>
      </w:tr>
      <w:tr>
        <w:trPr>
          <w:trHeight w:val="151"/>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08"/>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color w:val="auto"/>
              </w:rPr>
              <w:t>2011</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color w:val="auto"/>
              </w:rPr>
              <w:t>7.25% unsecured notes due February 1, 2019</w:t>
            </w:r>
          </w:p>
        </w:tc>
        <w:tc>
          <w:tcPr>
            <w:tcW w:w="36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8"/>
              <w:spacing w:after="0" w:line="150" w:lineRule="exact"/>
              <w:rPr>
                <w:sz w:val="20"/>
                <w:szCs w:val="20"/>
                <w:color w:val="auto"/>
              </w:rPr>
            </w:pPr>
            <w:r>
              <w:rPr>
                <w:rFonts w:ascii="Arial" w:cs="Arial" w:eastAsia="Arial" w:hAnsi="Arial"/>
                <w:sz w:val="15"/>
                <w:szCs w:val="15"/>
                <w:b w:val="1"/>
                <w:bCs w:val="1"/>
                <w:color w:val="auto"/>
              </w:rPr>
              <w:t>397,272</w:t>
            </w:r>
          </w:p>
        </w:tc>
        <w:tc>
          <w:tcPr>
            <w:tcW w:w="3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50" w:lineRule="exact"/>
              <w:rPr>
                <w:sz w:val="20"/>
                <w:szCs w:val="20"/>
                <w:color w:val="auto"/>
              </w:rPr>
            </w:pPr>
            <w:r>
              <w:rPr>
                <w:rFonts w:ascii="Arial" w:cs="Arial" w:eastAsia="Arial" w:hAnsi="Arial"/>
                <w:sz w:val="15"/>
                <w:szCs w:val="15"/>
                <w:color w:val="auto"/>
              </w:rPr>
              <w:t>3</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Commercial paper borrowings</w:t>
            </w:r>
          </w:p>
        </w:tc>
        <w:tc>
          <w:tcPr>
            <w:tcW w:w="36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AUD 50M borrowing</w:t>
            </w:r>
          </w:p>
        </w:tc>
        <w:tc>
          <w:tcPr>
            <w:tcW w:w="36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5"/>
                <w:szCs w:val="15"/>
                <w:b w:val="1"/>
                <w:bCs w:val="1"/>
                <w:color w:val="auto"/>
              </w:rPr>
              <w:t>51,168</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Other indebtedness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7,302</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b w:val="1"/>
                <w:bCs w:val="1"/>
                <w:color w:val="auto"/>
              </w:rPr>
              <w:t>Total Debt</w:t>
            </w:r>
          </w:p>
        </w:tc>
        <w:tc>
          <w:tcPr>
            <w:tcW w:w="360" w:type="dxa"/>
            <w:vAlign w:val="bottom"/>
          </w:tcPr>
          <w:p>
            <w:pPr>
              <w:spacing w:after="0"/>
              <w:rPr>
                <w:sz w:val="13"/>
                <w:szCs w:val="13"/>
                <w:color w:val="auto"/>
              </w:rPr>
            </w:pPr>
          </w:p>
        </w:tc>
        <w:tc>
          <w:tcPr>
            <w:tcW w:w="1280" w:type="dxa"/>
            <w:vAlign w:val="bottom"/>
          </w:tcPr>
          <w:p>
            <w:pPr>
              <w:jc w:val="right"/>
              <w:ind w:right="128"/>
              <w:spacing w:after="0" w:line="150" w:lineRule="exact"/>
              <w:rPr>
                <w:sz w:val="20"/>
                <w:szCs w:val="20"/>
                <w:color w:val="auto"/>
              </w:rPr>
            </w:pPr>
            <w:r>
              <w:rPr>
                <w:rFonts w:ascii="Arial" w:cs="Arial" w:eastAsia="Arial" w:hAnsi="Arial"/>
                <w:sz w:val="15"/>
                <w:szCs w:val="15"/>
                <w:b w:val="1"/>
                <w:bCs w:val="1"/>
                <w:color w:val="auto"/>
              </w:rPr>
              <w:t>455,742</w:t>
            </w:r>
          </w:p>
        </w:tc>
        <w:tc>
          <w:tcPr>
            <w:tcW w:w="34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Arial" w:cs="Arial" w:eastAsia="Arial" w:hAnsi="Arial"/>
                <w:sz w:val="15"/>
                <w:szCs w:val="15"/>
                <w:color w:val="auto"/>
              </w:rPr>
              <w:t>5</w:t>
            </w: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Less: current portion</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(3,173)</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r>
      <w:tr>
        <w:trPr>
          <w:trHeight w:val="166"/>
        </w:trPr>
        <w:tc>
          <w:tcPr>
            <w:tcW w:w="8240" w:type="dxa"/>
            <w:vAlign w:val="bottom"/>
          </w:tcPr>
          <w:p>
            <w:pPr>
              <w:spacing w:after="0" w:line="167" w:lineRule="exact"/>
              <w:rPr>
                <w:sz w:val="20"/>
                <w:szCs w:val="20"/>
                <w:color w:val="auto"/>
              </w:rPr>
            </w:pPr>
            <w:r>
              <w:rPr>
                <w:rFonts w:ascii="Arial" w:cs="Arial" w:eastAsia="Arial" w:hAnsi="Arial"/>
                <w:sz w:val="15"/>
                <w:szCs w:val="15"/>
                <w:b w:val="1"/>
                <w:bCs w:val="1"/>
                <w:color w:val="auto"/>
              </w:rPr>
              <w:t>Total Long-Term Debt</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452,569</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Company’s other indebtedness at June 30, 2012 and December 31, 2011 is at interest rates from 0% to 6% and matures from 2012 to 2017 and to 2016, respectively.</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During the three months ended June 30, 2012 and July 3, 2011, the Company had average borrowings outstanding of approximately $455.5 million an $401.2 million, respectively, at average annual interest rates of approximately 7.0% and 7.2%. During the three months ended June 30, 2012 and July 2011, the Company incurred net interest expense of $8.2 million and $7.0 million, respectively.</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During the six months ended June 30, 2012 and July 3, 2011, the Company had average borrowings outstanding of approximately $472.0 million and $400.6 million, respectively, at average annual interest rates of approximately 7.0% and 7.2%. During the six months ended June 30, 2012 and July 3, the Company incurred net interest expense of $16.3 million and $13.9 million, respectively.</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0" w:name="page11"/>
    <w:bookmarkEnd w:id="10"/>
    <w:p>
      <w:pPr>
        <w:ind w:right="20"/>
        <w:spacing w:after="0" w:line="232" w:lineRule="auto"/>
        <w:rPr>
          <w:sz w:val="20"/>
          <w:szCs w:val="20"/>
          <w:color w:val="auto"/>
        </w:rPr>
      </w:pPr>
      <w:r>
        <w:rPr>
          <w:rFonts w:ascii="Arial" w:cs="Arial" w:eastAsia="Arial" w:hAnsi="Arial"/>
          <w:sz w:val="17"/>
          <w:szCs w:val="17"/>
          <w:color w:val="auto"/>
        </w:rPr>
        <w:t>At June 30, 2012, the fair value of the Company’s 7.25% unsecured notes, based on quoted market prices, totaled $464.5 million, compared with the carrying amount of $397.3 million. At December 31, 2011, the fair value of the Company’s 7.25% unsecured notes, based on quoted market prices, to $460.5 million, compared with the carrying amount of $397.1 million. The carrying value of the Company’s other unsecured debt at June 30, 2012 approximates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EARNINGS PER SHARE</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Company’s earnings per share from continuing operations (basic and diluted) for the three and six months ended June 30, 2012 and July 3, 2011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2"/>
                <w:szCs w:val="12"/>
                <w:b w:val="1"/>
                <w:bCs w:val="1"/>
                <w:color w:val="auto"/>
              </w:rPr>
              <w:t>Three Months Ended</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14"/>
        </w:trPr>
        <w:tc>
          <w:tcPr>
            <w:tcW w:w="5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jc w:val="right"/>
              <w:ind w:right="468"/>
              <w:spacing w:after="0" w:line="114" w:lineRule="exact"/>
              <w:rPr>
                <w:sz w:val="20"/>
                <w:szCs w:val="20"/>
                <w:color w:val="auto"/>
              </w:rPr>
            </w:pPr>
            <w:r>
              <w:rPr>
                <w:rFonts w:ascii="Arial" w:cs="Arial" w:eastAsia="Arial" w:hAnsi="Arial"/>
                <w:sz w:val="12"/>
                <w:szCs w:val="12"/>
                <w:b w:val="1"/>
                <w:bCs w:val="1"/>
                <w:color w:val="auto"/>
              </w:rPr>
              <w:t>June 30,</w:t>
            </w:r>
          </w:p>
        </w:tc>
        <w:tc>
          <w:tcPr>
            <w:tcW w:w="880" w:type="dxa"/>
            <w:vAlign w:val="bottom"/>
          </w:tcPr>
          <w:p>
            <w:pPr>
              <w:jc w:val="right"/>
              <w:spacing w:after="0" w:line="114" w:lineRule="exact"/>
              <w:rPr>
                <w:sz w:val="20"/>
                <w:szCs w:val="20"/>
                <w:color w:val="auto"/>
              </w:rPr>
            </w:pPr>
            <w:r>
              <w:rPr>
                <w:rFonts w:ascii="Arial" w:cs="Arial" w:eastAsia="Arial" w:hAnsi="Arial"/>
                <w:sz w:val="12"/>
                <w:szCs w:val="12"/>
                <w:color w:val="auto"/>
              </w:rPr>
              <w:t>July 3,</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jc w:val="right"/>
              <w:ind w:right="408"/>
              <w:spacing w:after="0" w:line="114" w:lineRule="exact"/>
              <w:rPr>
                <w:sz w:val="20"/>
                <w:szCs w:val="20"/>
                <w:color w:val="auto"/>
              </w:rPr>
            </w:pPr>
            <w:r>
              <w:rPr>
                <w:rFonts w:ascii="Arial" w:cs="Arial" w:eastAsia="Arial" w:hAnsi="Arial"/>
                <w:sz w:val="12"/>
                <w:szCs w:val="12"/>
                <w:b w:val="1"/>
                <w:bCs w:val="1"/>
                <w:color w:val="auto"/>
              </w:rPr>
              <w:t>June 30,</w:t>
            </w:r>
          </w:p>
        </w:tc>
        <w:tc>
          <w:tcPr>
            <w:tcW w:w="760" w:type="dxa"/>
            <w:vAlign w:val="bottom"/>
          </w:tcPr>
          <w:p>
            <w:pPr>
              <w:jc w:val="right"/>
              <w:spacing w:after="0" w:line="114" w:lineRule="exact"/>
              <w:rPr>
                <w:sz w:val="20"/>
                <w:szCs w:val="20"/>
                <w:color w:val="auto"/>
              </w:rPr>
            </w:pPr>
            <w:r>
              <w:rPr>
                <w:rFonts w:ascii="Arial" w:cs="Arial" w:eastAsia="Arial" w:hAnsi="Arial"/>
                <w:sz w:val="12"/>
                <w:szCs w:val="12"/>
                <w:color w:val="auto"/>
              </w:rPr>
              <w:t>July 3</w:t>
            </w:r>
          </w:p>
        </w:tc>
        <w:tc>
          <w:tcPr>
            <w:tcW w:w="0" w:type="dxa"/>
            <w:vAlign w:val="bottom"/>
          </w:tcPr>
          <w:p>
            <w:pPr>
              <w:spacing w:after="0"/>
              <w:rPr>
                <w:sz w:val="1"/>
                <w:szCs w:val="1"/>
                <w:color w:val="auto"/>
              </w:rPr>
            </w:pPr>
          </w:p>
        </w:tc>
      </w:tr>
      <w:tr>
        <w:trPr>
          <w:trHeight w:val="151"/>
        </w:trPr>
        <w:tc>
          <w:tcPr>
            <w:tcW w:w="5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2012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5840" w:type="dxa"/>
            <w:vAlign w:val="bottom"/>
          </w:tcPr>
          <w:p>
            <w:pPr>
              <w:spacing w:after="0" w:line="168" w:lineRule="exact"/>
              <w:rPr>
                <w:sz w:val="20"/>
                <w:szCs w:val="20"/>
                <w:color w:val="auto"/>
              </w:rPr>
            </w:pPr>
            <w:r>
              <w:rPr>
                <w:rFonts w:ascii="Arial" w:cs="Arial" w:eastAsia="Arial" w:hAnsi="Arial"/>
                <w:sz w:val="15"/>
                <w:szCs w:val="15"/>
                <w:color w:val="auto"/>
              </w:rPr>
              <w:t>Income from continuing operations attributable to The</w:t>
            </w: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33,970</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44,800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20"/>
              <w:spacing w:after="0" w:line="156" w:lineRule="exact"/>
              <w:rPr>
                <w:sz w:val="20"/>
                <w:szCs w:val="20"/>
                <w:color w:val="auto"/>
              </w:rPr>
            </w:pPr>
            <w:r>
              <w:rPr>
                <w:rFonts w:ascii="Arial" w:cs="Arial" w:eastAsia="Arial" w:hAnsi="Arial"/>
                <w:sz w:val="15"/>
                <w:szCs w:val="15"/>
                <w:color w:val="auto"/>
              </w:rPr>
              <w:t>Washington Post Company common stockholders</w:t>
            </w:r>
          </w:p>
        </w:tc>
        <w:tc>
          <w:tcPr>
            <w:tcW w:w="3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880" w:type="dxa"/>
            <w:vAlign w:val="bottom"/>
          </w:tcPr>
          <w:p>
            <w:pPr>
              <w:jc w:val="right"/>
              <w:ind w:right="569"/>
              <w:spacing w:after="0" w:line="156"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66"/>
              <w:spacing w:after="0" w:line="156" w:lineRule="exact"/>
              <w:rPr>
                <w:sz w:val="20"/>
                <w:szCs w:val="20"/>
                <w:color w:val="auto"/>
              </w:rPr>
            </w:pPr>
            <w:r>
              <w:rPr>
                <w:rFonts w:ascii="Arial" w:cs="Arial" w:eastAsia="Arial" w:hAnsi="Arial"/>
                <w:sz w:val="15"/>
                <w:szCs w:val="15"/>
                <w:color w:val="auto"/>
                <w:w w:val="95"/>
              </w:rPr>
              <w:t>47,593</w:t>
            </w:r>
          </w:p>
        </w:tc>
        <w:tc>
          <w:tcPr>
            <w:tcW w:w="3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760" w:type="dxa"/>
            <w:vAlign w:val="bottom"/>
          </w:tcPr>
          <w:p>
            <w:pPr>
              <w:jc w:val="right"/>
              <w:ind w:right="469"/>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20"/>
                <w:szCs w:val="20"/>
                <w:color w:val="auto"/>
              </w:rPr>
            </w:pPr>
            <w:r>
              <w:rPr>
                <w:rFonts w:ascii="Arial" w:cs="Arial" w:eastAsia="Arial" w:hAnsi="Arial"/>
                <w:sz w:val="15"/>
                <w:szCs w:val="15"/>
                <w:color w:val="auto"/>
              </w:rPr>
              <w:t>Less: Amount attributable to participating securities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(670)</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(486)</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(1,079)</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20"/>
                <w:szCs w:val="20"/>
                <w:color w:val="auto"/>
              </w:rPr>
            </w:pPr>
            <w:r>
              <w:rPr>
                <w:rFonts w:ascii="Arial" w:cs="Arial" w:eastAsia="Arial" w:hAnsi="Arial"/>
                <w:sz w:val="15"/>
                <w:szCs w:val="15"/>
                <w:color w:val="auto"/>
              </w:rPr>
              <w:t>Basic income from continuing operations attributable to</w:t>
            </w: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33,300</w:t>
            </w:r>
          </w:p>
        </w:tc>
        <w:tc>
          <w:tcPr>
            <w:tcW w:w="880" w:type="dxa"/>
            <w:vAlign w:val="bottom"/>
            <w:vMerge w:val="restart"/>
          </w:tcPr>
          <w:p>
            <w:pPr>
              <w:jc w:val="right"/>
              <w:ind w:right="569"/>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ind w:right="66"/>
              <w:spacing w:after="0"/>
              <w:rPr>
                <w:sz w:val="20"/>
                <w:szCs w:val="20"/>
                <w:color w:val="auto"/>
              </w:rPr>
            </w:pPr>
            <w:r>
              <w:rPr>
                <w:rFonts w:ascii="Arial" w:cs="Arial" w:eastAsia="Arial" w:hAnsi="Arial"/>
                <w:sz w:val="15"/>
                <w:szCs w:val="15"/>
                <w:color w:val="auto"/>
                <w:w w:val="95"/>
              </w:rPr>
              <w:t>47,107</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43,721</w:t>
            </w:r>
          </w:p>
        </w:tc>
        <w:tc>
          <w:tcPr>
            <w:tcW w:w="760" w:type="dxa"/>
            <w:vAlign w:val="bottom"/>
            <w:vMerge w:val="restart"/>
          </w:tcPr>
          <w:p>
            <w:pPr>
              <w:jc w:val="right"/>
              <w:ind w:right="46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line="167" w:lineRule="exact"/>
              <w:rPr>
                <w:sz w:val="20"/>
                <w:szCs w:val="20"/>
                <w:color w:val="auto"/>
              </w:rPr>
            </w:pPr>
            <w:r>
              <w:rPr>
                <w:rFonts w:ascii="Arial" w:cs="Arial" w:eastAsia="Arial" w:hAnsi="Arial"/>
                <w:sz w:val="15"/>
                <w:szCs w:val="15"/>
                <w:color w:val="auto"/>
              </w:rPr>
              <w:t>The Washington Post Company common stockholders</w:t>
            </w:r>
          </w:p>
        </w:tc>
        <w:tc>
          <w:tcPr>
            <w:tcW w:w="3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840" w:type="dxa"/>
            <w:vAlign w:val="bottom"/>
          </w:tcPr>
          <w:p>
            <w:pPr>
              <w:spacing w:after="0"/>
              <w:rPr>
                <w:sz w:val="20"/>
                <w:szCs w:val="20"/>
                <w:color w:val="auto"/>
              </w:rPr>
            </w:pPr>
            <w:r>
              <w:rPr>
                <w:rFonts w:ascii="Arial" w:cs="Arial" w:eastAsia="Arial" w:hAnsi="Arial"/>
                <w:sz w:val="15"/>
                <w:szCs w:val="15"/>
                <w:color w:val="auto"/>
              </w:rPr>
              <w:t>Plus: Amount attributable to participating securities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670</w:t>
            </w: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486</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1,079</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20"/>
                <w:szCs w:val="20"/>
                <w:color w:val="auto"/>
              </w:rPr>
            </w:pPr>
            <w:r>
              <w:rPr>
                <w:rFonts w:ascii="Arial" w:cs="Arial" w:eastAsia="Arial" w:hAnsi="Arial"/>
                <w:sz w:val="15"/>
                <w:szCs w:val="15"/>
                <w:color w:val="auto"/>
              </w:rPr>
              <w:t>Diluted income from continuing operations attributable to</w:t>
            </w: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33,970</w:t>
            </w:r>
          </w:p>
        </w:tc>
        <w:tc>
          <w:tcPr>
            <w:tcW w:w="880" w:type="dxa"/>
            <w:vAlign w:val="bottom"/>
            <w:vMerge w:val="restart"/>
          </w:tcPr>
          <w:p>
            <w:pPr>
              <w:jc w:val="right"/>
              <w:ind w:right="569"/>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ind w:right="66"/>
              <w:spacing w:after="0"/>
              <w:rPr>
                <w:sz w:val="20"/>
                <w:szCs w:val="20"/>
                <w:color w:val="auto"/>
              </w:rPr>
            </w:pPr>
            <w:r>
              <w:rPr>
                <w:rFonts w:ascii="Arial" w:cs="Arial" w:eastAsia="Arial" w:hAnsi="Arial"/>
                <w:sz w:val="15"/>
                <w:szCs w:val="15"/>
                <w:color w:val="auto"/>
                <w:w w:val="95"/>
              </w:rPr>
              <w:t>47,593</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44,800</w:t>
            </w:r>
          </w:p>
        </w:tc>
        <w:tc>
          <w:tcPr>
            <w:tcW w:w="760" w:type="dxa"/>
            <w:vAlign w:val="bottom"/>
            <w:vMerge w:val="restart"/>
          </w:tcPr>
          <w:p>
            <w:pPr>
              <w:jc w:val="right"/>
              <w:ind w:right="46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line="167" w:lineRule="exact"/>
              <w:rPr>
                <w:sz w:val="20"/>
                <w:szCs w:val="20"/>
                <w:color w:val="auto"/>
              </w:rPr>
            </w:pPr>
            <w:r>
              <w:rPr>
                <w:rFonts w:ascii="Arial" w:cs="Arial" w:eastAsia="Arial" w:hAnsi="Arial"/>
                <w:sz w:val="15"/>
                <w:szCs w:val="15"/>
                <w:color w:val="auto"/>
              </w:rPr>
              <w:t>The Washington Post Company common stockholders</w:t>
            </w:r>
          </w:p>
        </w:tc>
        <w:tc>
          <w:tcPr>
            <w:tcW w:w="3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40" w:type="dxa"/>
            <w:vAlign w:val="bottom"/>
          </w:tcPr>
          <w:p>
            <w:pPr>
              <w:spacing w:after="0"/>
              <w:rPr>
                <w:sz w:val="20"/>
                <w:szCs w:val="20"/>
                <w:color w:val="auto"/>
              </w:rPr>
            </w:pPr>
            <w:r>
              <w:rPr>
                <w:rFonts w:ascii="Arial" w:cs="Arial" w:eastAsia="Arial" w:hAnsi="Arial"/>
                <w:sz w:val="15"/>
                <w:szCs w:val="15"/>
                <w:color w:val="auto"/>
              </w:rPr>
              <w:t>Basic weighted average shares outstanding</w:t>
            </w:r>
          </w:p>
        </w:tc>
        <w:tc>
          <w:tcPr>
            <w:tcW w:w="34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5"/>
                <w:szCs w:val="15"/>
                <w:b w:val="1"/>
                <w:bCs w:val="1"/>
                <w:color w:val="auto"/>
              </w:rPr>
              <w:t>7,431</w:t>
            </w:r>
          </w:p>
        </w:tc>
        <w:tc>
          <w:tcPr>
            <w:tcW w:w="880" w:type="dxa"/>
            <w:vAlign w:val="bottom"/>
          </w:tcPr>
          <w:p>
            <w:pPr>
              <w:spacing w:after="0"/>
              <w:rPr>
                <w:sz w:val="24"/>
                <w:szCs w:val="24"/>
                <w:color w:val="auto"/>
              </w:rPr>
            </w:pPr>
          </w:p>
        </w:tc>
        <w:tc>
          <w:tcPr>
            <w:tcW w:w="600" w:type="dxa"/>
            <w:vAlign w:val="bottom"/>
          </w:tcPr>
          <w:p>
            <w:pPr>
              <w:jc w:val="right"/>
              <w:ind w:right="66"/>
              <w:spacing w:after="0"/>
              <w:rPr>
                <w:sz w:val="20"/>
                <w:szCs w:val="20"/>
                <w:color w:val="auto"/>
              </w:rPr>
            </w:pPr>
            <w:r>
              <w:rPr>
                <w:rFonts w:ascii="Arial" w:cs="Arial" w:eastAsia="Arial" w:hAnsi="Arial"/>
                <w:sz w:val="15"/>
                <w:szCs w:val="15"/>
                <w:color w:val="auto"/>
              </w:rPr>
              <w:t>7,852</w:t>
            </w:r>
          </w:p>
        </w:tc>
        <w:tc>
          <w:tcPr>
            <w:tcW w:w="30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7,473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20"/>
                <w:szCs w:val="20"/>
                <w:color w:val="auto"/>
              </w:rPr>
            </w:pPr>
            <w:r>
              <w:rPr>
                <w:rFonts w:ascii="Arial" w:cs="Arial" w:eastAsia="Arial" w:hAnsi="Arial"/>
                <w:sz w:val="15"/>
                <w:szCs w:val="15"/>
                <w:color w:val="auto"/>
              </w:rPr>
              <w:t>Plus: Effect of dilutive shares related to stock options and restricted stock</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114</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107</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40" w:type="dxa"/>
            <w:vAlign w:val="bottom"/>
          </w:tcPr>
          <w:p>
            <w:pPr>
              <w:spacing w:after="0" w:line="167" w:lineRule="exact"/>
              <w:rPr>
                <w:sz w:val="20"/>
                <w:szCs w:val="20"/>
                <w:color w:val="auto"/>
              </w:rPr>
            </w:pPr>
            <w:r>
              <w:rPr>
                <w:rFonts w:ascii="Arial" w:cs="Arial" w:eastAsia="Arial" w:hAnsi="Arial"/>
                <w:sz w:val="15"/>
                <w:szCs w:val="15"/>
                <w:color w:val="auto"/>
              </w:rPr>
              <w:t>Diluted weighted average shares outstanding</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7,545</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7,933</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7,580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5"/>
                <w:szCs w:val="15"/>
                <w:b w:val="1"/>
                <w:bCs w:val="1"/>
                <w:color w:val="auto"/>
              </w:rPr>
              <w:t>Income Per Share from Continuing Operations Attributable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840" w:type="dxa"/>
            <w:vAlign w:val="bottom"/>
          </w:tcPr>
          <w:p>
            <w:pPr>
              <w:ind w:left="220"/>
              <w:spacing w:after="0"/>
              <w:rPr>
                <w:sz w:val="20"/>
                <w:szCs w:val="20"/>
                <w:color w:val="auto"/>
              </w:rPr>
            </w:pPr>
            <w:r>
              <w:rPr>
                <w:rFonts w:ascii="Arial" w:cs="Arial" w:eastAsia="Arial" w:hAnsi="Arial"/>
                <w:sz w:val="15"/>
                <w:szCs w:val="15"/>
                <w:b w:val="1"/>
                <w:bCs w:val="1"/>
                <w:color w:val="auto"/>
              </w:rPr>
              <w:t>to The Washington Post Company Common Stockholders:</w:t>
            </w: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4.48</w:t>
            </w:r>
          </w:p>
        </w:tc>
        <w:tc>
          <w:tcPr>
            <w:tcW w:w="880" w:type="dxa"/>
            <w:vAlign w:val="bottom"/>
            <w:vMerge w:val="restart"/>
          </w:tcPr>
          <w:p>
            <w:pPr>
              <w:jc w:val="right"/>
              <w:ind w:right="569"/>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ind w:right="66"/>
              <w:spacing w:after="0"/>
              <w:rPr>
                <w:sz w:val="20"/>
                <w:szCs w:val="20"/>
                <w:color w:val="auto"/>
              </w:rPr>
            </w:pPr>
            <w:r>
              <w:rPr>
                <w:rFonts w:ascii="Arial" w:cs="Arial" w:eastAsia="Arial" w:hAnsi="Arial"/>
                <w:sz w:val="15"/>
                <w:szCs w:val="15"/>
                <w:color w:val="auto"/>
              </w:rPr>
              <w:t>6.00</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5.85</w:t>
            </w:r>
          </w:p>
        </w:tc>
        <w:tc>
          <w:tcPr>
            <w:tcW w:w="760" w:type="dxa"/>
            <w:vAlign w:val="bottom"/>
            <w:vMerge w:val="restart"/>
          </w:tcPr>
          <w:p>
            <w:pPr>
              <w:jc w:val="right"/>
              <w:ind w:right="46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840" w:type="dxa"/>
            <w:vAlign w:val="bottom"/>
          </w:tcPr>
          <w:p>
            <w:pPr>
              <w:ind w:left="460"/>
              <w:spacing w:after="0" w:line="167" w:lineRule="exact"/>
              <w:rPr>
                <w:sz w:val="20"/>
                <w:szCs w:val="20"/>
                <w:color w:val="auto"/>
              </w:rPr>
            </w:pPr>
            <w:r>
              <w:rPr>
                <w:rFonts w:ascii="Arial" w:cs="Arial" w:eastAsia="Arial" w:hAnsi="Arial"/>
                <w:sz w:val="15"/>
                <w:szCs w:val="15"/>
                <w:color w:val="auto"/>
              </w:rPr>
              <w:t>Basic</w:t>
            </w:r>
          </w:p>
        </w:tc>
        <w:tc>
          <w:tcPr>
            <w:tcW w:w="3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40" w:type="dxa"/>
            <w:vAlign w:val="bottom"/>
          </w:tcPr>
          <w:p>
            <w:pPr>
              <w:ind w:left="460"/>
              <w:spacing w:after="0" w:line="151" w:lineRule="exact"/>
              <w:rPr>
                <w:sz w:val="20"/>
                <w:szCs w:val="20"/>
                <w:color w:val="auto"/>
              </w:rPr>
            </w:pPr>
            <w:r>
              <w:rPr>
                <w:rFonts w:ascii="Arial" w:cs="Arial" w:eastAsia="Arial" w:hAnsi="Arial"/>
                <w:sz w:val="15"/>
                <w:szCs w:val="15"/>
                <w:color w:val="auto"/>
              </w:rPr>
              <w:t>Diluted</w:t>
            </w:r>
          </w:p>
        </w:tc>
        <w:tc>
          <w:tcPr>
            <w:tcW w:w="340" w:type="dxa"/>
            <w:vAlign w:val="bottom"/>
            <w:tcBorders>
              <w:bottom w:val="single" w:sz="8" w:color="auto"/>
            </w:tcBorders>
          </w:tcPr>
          <w:p>
            <w:pPr>
              <w:jc w:val="right"/>
              <w:ind w:right="26"/>
              <w:spacing w:after="0" w:line="151"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4.48</w:t>
            </w:r>
          </w:p>
        </w:tc>
        <w:tc>
          <w:tcPr>
            <w:tcW w:w="880" w:type="dxa"/>
            <w:vAlign w:val="bottom"/>
            <w:tcBorders>
              <w:bottom w:val="single" w:sz="8" w:color="auto"/>
            </w:tcBorders>
          </w:tcPr>
          <w:p>
            <w:pPr>
              <w:jc w:val="right"/>
              <w:ind w:right="569"/>
              <w:spacing w:after="0" w:line="151"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color w:val="auto"/>
              </w:rPr>
              <w:t>6.00</w:t>
            </w:r>
          </w:p>
        </w:tc>
        <w:tc>
          <w:tcPr>
            <w:tcW w:w="300" w:type="dxa"/>
            <w:vAlign w:val="bottom"/>
            <w:tcBorders>
              <w:bottom w:val="single" w:sz="8" w:color="auto"/>
            </w:tcBorders>
          </w:tcPr>
          <w:p>
            <w:pPr>
              <w:jc w:val="right"/>
              <w:ind w:right="6"/>
              <w:spacing w:after="0" w:line="151"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88"/>
              <w:spacing w:after="0" w:line="151" w:lineRule="exact"/>
              <w:rPr>
                <w:sz w:val="20"/>
                <w:szCs w:val="20"/>
                <w:color w:val="auto"/>
              </w:rPr>
            </w:pPr>
            <w:r>
              <w:rPr>
                <w:rFonts w:ascii="Arial" w:cs="Arial" w:eastAsia="Arial" w:hAnsi="Arial"/>
                <w:sz w:val="15"/>
                <w:szCs w:val="15"/>
                <w:b w:val="1"/>
                <w:bCs w:val="1"/>
                <w:color w:val="auto"/>
              </w:rPr>
              <w:t>5.85</w:t>
            </w:r>
          </w:p>
        </w:tc>
        <w:tc>
          <w:tcPr>
            <w:tcW w:w="760" w:type="dxa"/>
            <w:vAlign w:val="bottom"/>
            <w:tcBorders>
              <w:bottom w:val="single" w:sz="8" w:color="auto"/>
            </w:tcBorders>
          </w:tcPr>
          <w:p>
            <w:pPr>
              <w:jc w:val="right"/>
              <w:ind w:right="469"/>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For the three and six months ended June 30, 2012, the basic earnings per share computed under the two-class method is lower than the diluted earni per share computed under the if-converted method for participating securities, resulting in the presentation of the lower amount in diluted earnings per share. The diluted earnings per share amounts for the three and six months ended June 30, 2012 exclude the effects of 125,044 and 113,294 stock o outstanding, respectively, as their inclusion would have been antidilutive. The diluted earnings per share amounts for the three and six months ended 30, 2012 exclude the effects of 42,500 restricted stock awards, as their inclusion would have been antidilutive. The diluted earnings per share amount the three and six months ended July 3, 2011 exclude the effects of 89,850 and 79,850 stock options outstanding, respectively, as their inclusion would been antidilutive.</w:t>
      </w:r>
    </w:p>
    <w:p>
      <w:pPr>
        <w:spacing w:after="0" w:line="17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the three and six months ended June 30, 2012, the Company declared regular dividends totaling $2.45 and $7.35 per share, respectively. In the thr six months ended July 3, 2011, the Company declared regular dividends totaling $2.35 and $7.05 per share, respectively.</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8. PENSION AND POSTRETIREMENT PLANS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w:t>
      </w:r>
      <w:r>
        <w:rPr>
          <w:rFonts w:ascii="Arial" w:cs="Arial" w:eastAsia="Arial" w:hAnsi="Arial"/>
          <w:sz w:val="16"/>
          <w:szCs w:val="16"/>
          <w:color w:val="auto"/>
        </w:rPr>
        <w:t>. The total cost (benefit) arising from the Company’s defined benefit pension plans for the three and six months ended June 30</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2012 and July 3, 2011, consists of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Pension Plans</w:t>
            </w:r>
          </w:p>
        </w:tc>
        <w:tc>
          <w:tcPr>
            <w:tcW w:w="10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29"/>
        </w:trPr>
        <w:tc>
          <w:tcPr>
            <w:tcW w:w="5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3"/>
          </w:tcPr>
          <w:p>
            <w:pPr>
              <w:jc w:val="right"/>
              <w:ind w:right="769"/>
              <w:spacing w:after="0" w:line="129" w:lineRule="exact"/>
              <w:rPr>
                <w:sz w:val="20"/>
                <w:szCs w:val="20"/>
                <w:color w:val="auto"/>
              </w:rPr>
            </w:pPr>
            <w:r>
              <w:rPr>
                <w:rFonts w:ascii="Arial" w:cs="Arial" w:eastAsia="Arial" w:hAnsi="Arial"/>
                <w:sz w:val="12"/>
                <w:szCs w:val="12"/>
                <w:b w:val="1"/>
                <w:bCs w:val="1"/>
                <w:color w:val="auto"/>
              </w:rPr>
              <w:t>Three Months Ended</w:t>
            </w:r>
          </w:p>
        </w:tc>
        <w:tc>
          <w:tcPr>
            <w:tcW w:w="4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270"/>
              <w:spacing w:after="0" w:line="129" w:lineRule="exact"/>
              <w:rPr>
                <w:sz w:val="20"/>
                <w:szCs w:val="20"/>
                <w:color w:val="auto"/>
              </w:rPr>
            </w:pPr>
            <w:r>
              <w:rPr>
                <w:rFonts w:ascii="Arial" w:cs="Arial" w:eastAsia="Arial" w:hAnsi="Arial"/>
                <w:sz w:val="12"/>
                <w:szCs w:val="12"/>
                <w:b w:val="1"/>
                <w:bCs w:val="1"/>
                <w:color w:val="auto"/>
              </w:rPr>
              <w:t>Six Months Ended</w:t>
            </w:r>
          </w:p>
        </w:tc>
      </w:tr>
      <w:tr>
        <w:trPr>
          <w:trHeight w:val="114"/>
        </w:trPr>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jc w:val="right"/>
              <w:ind w:right="409"/>
              <w:spacing w:after="0" w:line="114" w:lineRule="exact"/>
              <w:rPr>
                <w:sz w:val="20"/>
                <w:szCs w:val="20"/>
                <w:color w:val="auto"/>
              </w:rPr>
            </w:pPr>
            <w:r>
              <w:rPr>
                <w:rFonts w:ascii="Arial" w:cs="Arial" w:eastAsia="Arial" w:hAnsi="Arial"/>
                <w:sz w:val="12"/>
                <w:szCs w:val="12"/>
                <w:b w:val="1"/>
                <w:bCs w:val="1"/>
                <w:color w:val="auto"/>
              </w:rPr>
              <w:t>June 30,</w:t>
            </w:r>
          </w:p>
        </w:tc>
        <w:tc>
          <w:tcPr>
            <w:tcW w:w="440" w:type="dxa"/>
            <w:vAlign w:val="bottom"/>
          </w:tcPr>
          <w:p>
            <w:pPr>
              <w:spacing w:after="0"/>
              <w:rPr>
                <w:sz w:val="9"/>
                <w:szCs w:val="9"/>
                <w:color w:val="auto"/>
              </w:rPr>
            </w:pPr>
          </w:p>
        </w:tc>
        <w:tc>
          <w:tcPr>
            <w:tcW w:w="1040" w:type="dxa"/>
            <w:vAlign w:val="bottom"/>
          </w:tcPr>
          <w:p>
            <w:pPr>
              <w:jc w:val="right"/>
              <w:ind w:right="469"/>
              <w:spacing w:after="0" w:line="114" w:lineRule="exact"/>
              <w:rPr>
                <w:sz w:val="20"/>
                <w:szCs w:val="20"/>
                <w:color w:val="auto"/>
              </w:rPr>
            </w:pPr>
            <w:r>
              <w:rPr>
                <w:rFonts w:ascii="Arial" w:cs="Arial" w:eastAsia="Arial" w:hAnsi="Arial"/>
                <w:sz w:val="12"/>
                <w:szCs w:val="12"/>
                <w:color w:val="auto"/>
              </w:rPr>
              <w:t>July 3,</w:t>
            </w:r>
          </w:p>
        </w:tc>
        <w:tc>
          <w:tcPr>
            <w:tcW w:w="440" w:type="dxa"/>
            <w:vAlign w:val="bottom"/>
          </w:tcPr>
          <w:p>
            <w:pPr>
              <w:spacing w:after="0"/>
              <w:rPr>
                <w:sz w:val="9"/>
                <w:szCs w:val="9"/>
                <w:color w:val="auto"/>
              </w:rPr>
            </w:pPr>
          </w:p>
        </w:tc>
        <w:tc>
          <w:tcPr>
            <w:tcW w:w="1040" w:type="dxa"/>
            <w:vAlign w:val="bottom"/>
          </w:tcPr>
          <w:p>
            <w:pPr>
              <w:jc w:val="right"/>
              <w:ind w:right="389"/>
              <w:spacing w:after="0" w:line="114" w:lineRule="exact"/>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9"/>
                <w:szCs w:val="9"/>
                <w:color w:val="auto"/>
              </w:rPr>
            </w:pPr>
          </w:p>
        </w:tc>
        <w:tc>
          <w:tcPr>
            <w:tcW w:w="640" w:type="dxa"/>
            <w:vAlign w:val="bottom"/>
          </w:tcPr>
          <w:p>
            <w:pPr>
              <w:jc w:val="right"/>
              <w:spacing w:after="0" w:line="114" w:lineRule="exact"/>
              <w:rPr>
                <w:sz w:val="20"/>
                <w:szCs w:val="20"/>
                <w:color w:val="auto"/>
              </w:rPr>
            </w:pPr>
            <w:r>
              <w:rPr>
                <w:rFonts w:ascii="Arial" w:cs="Arial" w:eastAsia="Arial" w:hAnsi="Arial"/>
                <w:sz w:val="12"/>
                <w:szCs w:val="12"/>
                <w:color w:val="auto"/>
              </w:rPr>
              <w:t>July 3</w:t>
            </w:r>
          </w:p>
        </w:tc>
      </w:tr>
      <w:tr>
        <w:trPr>
          <w:trHeight w:val="151"/>
        </w:trPr>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color w:val="auto"/>
              </w:rPr>
              <w:t>2011</w:t>
            </w: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2012</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260" w:type="dxa"/>
            <w:vAlign w:val="bottom"/>
          </w:tcPr>
          <w:p>
            <w:pPr>
              <w:jc w:val="right"/>
              <w:ind w:right="106"/>
              <w:spacing w:after="0" w:line="150" w:lineRule="exact"/>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8,701</w:t>
            </w:r>
          </w:p>
        </w:tc>
        <w:tc>
          <w:tcPr>
            <w:tcW w:w="4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9"/>
              <w:spacing w:after="0" w:line="150" w:lineRule="exact"/>
              <w:rPr>
                <w:sz w:val="20"/>
                <w:szCs w:val="20"/>
                <w:color w:val="auto"/>
              </w:rPr>
            </w:pPr>
            <w:r>
              <w:rPr>
                <w:rFonts w:ascii="Arial" w:cs="Arial" w:eastAsia="Arial" w:hAnsi="Arial"/>
                <w:sz w:val="15"/>
                <w:szCs w:val="15"/>
                <w:color w:val="auto"/>
              </w:rPr>
              <w:t>6,760</w:t>
            </w:r>
          </w:p>
        </w:tc>
        <w:tc>
          <w:tcPr>
            <w:tcW w:w="44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17,808</w:t>
            </w:r>
          </w:p>
        </w:tc>
        <w:tc>
          <w:tcPr>
            <w:tcW w:w="200" w:type="dxa"/>
            <w:vAlign w:val="bottom"/>
          </w:tcPr>
          <w:p>
            <w:pPr>
              <w:spacing w:after="0"/>
              <w:rPr>
                <w:sz w:val="13"/>
                <w:szCs w:val="13"/>
                <w:color w:val="auto"/>
              </w:rPr>
            </w:pPr>
          </w:p>
        </w:tc>
        <w:tc>
          <w:tcPr>
            <w:tcW w:w="640" w:type="dxa"/>
            <w:vAlign w:val="bottom"/>
          </w:tcPr>
          <w:p>
            <w:pPr>
              <w:jc w:val="right"/>
              <w:ind w:right="470"/>
              <w:spacing w:after="0" w:line="150" w:lineRule="exact"/>
              <w:rPr>
                <w:sz w:val="20"/>
                <w:szCs w:val="20"/>
                <w:color w:val="auto"/>
              </w:rPr>
            </w:pPr>
            <w:r>
              <w:rPr>
                <w:rFonts w:ascii="Arial" w:cs="Arial" w:eastAsia="Arial" w:hAnsi="Arial"/>
                <w:sz w:val="15"/>
                <w:szCs w:val="15"/>
                <w:color w:val="auto"/>
                <w:w w:val="95"/>
              </w:rPr>
              <w:t>$</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Interest cost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14,829</w:t>
            </w:r>
          </w:p>
        </w:tc>
        <w:tc>
          <w:tcPr>
            <w:tcW w:w="4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color w:val="auto"/>
              </w:rPr>
              <w:t>14,964</w:t>
            </w:r>
          </w:p>
        </w:tc>
        <w:tc>
          <w:tcPr>
            <w:tcW w:w="4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b w:val="1"/>
                <w:bCs w:val="1"/>
                <w:color w:val="auto"/>
              </w:rPr>
              <w:t>29,420</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Expected return on assets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(24,510)</w:t>
            </w:r>
          </w:p>
        </w:tc>
        <w:tc>
          <w:tcPr>
            <w:tcW w:w="4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color w:val="auto"/>
              </w:rPr>
              <w:t>(24,064)</w:t>
            </w:r>
          </w:p>
        </w:tc>
        <w:tc>
          <w:tcPr>
            <w:tcW w:w="4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b w:val="1"/>
                <w:bCs w:val="1"/>
                <w:color w:val="auto"/>
              </w:rPr>
              <w:t>(48,522)</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919</w:t>
            </w:r>
          </w:p>
        </w:tc>
        <w:tc>
          <w:tcPr>
            <w:tcW w:w="4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color w:val="auto"/>
              </w:rPr>
              <w:t>882</w:t>
            </w:r>
          </w:p>
        </w:tc>
        <w:tc>
          <w:tcPr>
            <w:tcW w:w="4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b w:val="1"/>
                <w:bCs w:val="1"/>
                <w:color w:val="auto"/>
              </w:rPr>
              <w:t>1,856</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2,503</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4,072</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b w:val="1"/>
                <w:bCs w:val="1"/>
                <w:color w:val="auto"/>
              </w:rPr>
              <w:t>Net Periodic Cost (Benefit)</w:t>
            </w:r>
          </w:p>
        </w:tc>
        <w:tc>
          <w:tcPr>
            <w:tcW w:w="260" w:type="dxa"/>
            <w:vAlign w:val="bottom"/>
          </w:tcPr>
          <w:p>
            <w:pPr>
              <w:spacing w:after="0"/>
              <w:rPr>
                <w:sz w:val="13"/>
                <w:szCs w:val="13"/>
                <w:color w:val="auto"/>
              </w:rPr>
            </w:pPr>
          </w:p>
        </w:tc>
        <w:tc>
          <w:tcPr>
            <w:tcW w:w="116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2,442</w:t>
            </w:r>
          </w:p>
        </w:tc>
        <w:tc>
          <w:tcPr>
            <w:tcW w:w="440" w:type="dxa"/>
            <w:vAlign w:val="bottom"/>
          </w:tcPr>
          <w:p>
            <w:pPr>
              <w:spacing w:after="0"/>
              <w:rPr>
                <w:sz w:val="13"/>
                <w:szCs w:val="13"/>
                <w:color w:val="auto"/>
              </w:rPr>
            </w:pPr>
          </w:p>
        </w:tc>
        <w:tc>
          <w:tcPr>
            <w:tcW w:w="1040" w:type="dxa"/>
            <w:vAlign w:val="bottom"/>
          </w:tcPr>
          <w:p>
            <w:pPr>
              <w:jc w:val="right"/>
              <w:ind w:right="9"/>
              <w:spacing w:after="0" w:line="150" w:lineRule="exact"/>
              <w:rPr>
                <w:sz w:val="20"/>
                <w:szCs w:val="20"/>
                <w:color w:val="auto"/>
              </w:rPr>
            </w:pPr>
            <w:r>
              <w:rPr>
                <w:rFonts w:ascii="Arial" w:cs="Arial" w:eastAsia="Arial" w:hAnsi="Arial"/>
                <w:sz w:val="15"/>
                <w:szCs w:val="15"/>
                <w:color w:val="auto"/>
              </w:rPr>
              <w:t>(1,458)</w:t>
            </w:r>
          </w:p>
        </w:tc>
        <w:tc>
          <w:tcPr>
            <w:tcW w:w="440" w:type="dxa"/>
            <w:vAlign w:val="bottom"/>
          </w:tcPr>
          <w:p>
            <w:pPr>
              <w:spacing w:after="0"/>
              <w:rPr>
                <w:sz w:val="13"/>
                <w:szCs w:val="13"/>
                <w:color w:val="auto"/>
              </w:rPr>
            </w:pPr>
          </w:p>
        </w:tc>
        <w:tc>
          <w:tcPr>
            <w:tcW w:w="104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4,634</w:t>
            </w:r>
          </w:p>
        </w:tc>
        <w:tc>
          <w:tcPr>
            <w:tcW w:w="200" w:type="dxa"/>
            <w:vAlign w:val="bottom"/>
          </w:tcPr>
          <w:p>
            <w:pPr>
              <w:spacing w:after="0"/>
              <w:rPr>
                <w:sz w:val="13"/>
                <w:szCs w:val="13"/>
                <w:color w:val="auto"/>
              </w:rPr>
            </w:pPr>
          </w:p>
        </w:tc>
        <w:tc>
          <w:tcPr>
            <w:tcW w:w="6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Early retirement programs expense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1,022</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66"/>
        </w:trPr>
        <w:tc>
          <w:tcPr>
            <w:tcW w:w="572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 (Benefit)</w:t>
            </w:r>
          </w:p>
        </w:tc>
        <w:tc>
          <w:tcPr>
            <w:tcW w:w="2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2,442</w:t>
            </w:r>
          </w:p>
        </w:tc>
        <w:tc>
          <w:tcPr>
            <w:tcW w:w="44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color w:val="auto"/>
              </w:rPr>
              <w:t>(1,458)</w:t>
            </w:r>
          </w:p>
        </w:tc>
        <w:tc>
          <w:tcPr>
            <w:tcW w:w="44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5,656</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4" w:right="139" w:bottom="1440" w:gutter="0" w:footer="0" w:header="0"/>
        </w:sectPr>
      </w:pPr>
    </w:p>
    <w:bookmarkStart w:id="11" w:name="page12"/>
    <w:bookmarkEnd w:id="11"/>
    <w:p>
      <w:pPr>
        <w:jc w:val="both"/>
        <w:spacing w:after="0" w:line="232" w:lineRule="auto"/>
        <w:rPr>
          <w:sz w:val="20"/>
          <w:szCs w:val="20"/>
          <w:color w:val="auto"/>
        </w:rPr>
      </w:pPr>
      <w:r>
        <w:rPr>
          <w:rFonts w:ascii="Arial" w:cs="Arial" w:eastAsia="Arial" w:hAnsi="Arial"/>
          <w:sz w:val="17"/>
          <w:szCs w:val="17"/>
          <w:color w:val="auto"/>
        </w:rPr>
        <w:t>In the first quarter of 2012, the Company offered a Voluntary Retirement Incentive Program to certain employees of Post-Newsweek Media and record early retirement program expense of $1.0 million. In the first quarter of 2011, the Company offered a Voluntary Retirement Incentive Program to certai employees of Robinson Terminal Warehouse and recorded early retirement program expense of $0.4 million. The early retirement program expense fo these programs is funded from the assets of the Company’s pension plans.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Effective August 1, 2012, the Company’s defined benefit pension plan was amended to provide most of the current participants with a new cash balan benefit. The new cash balance benefit will be funded by the assets of the Company’s pension plans. As a result of this new benefit, effective August 1, the Company’s matching contribution for its 401(k) Savings Plans has been reduced.</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total cost arising from the Company’s Supplemental Executive Retirement Plan (SERP) for the three and six months ended June 30, 2012 and Ju 2011, consists of the following components: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29"/>
        </w:trPr>
        <w:tc>
          <w:tcPr>
            <w:tcW w:w="5720" w:type="dxa"/>
            <w:vAlign w:val="bottom"/>
          </w:tcPr>
          <w:p>
            <w:pPr>
              <w:spacing w:after="0"/>
              <w:rPr>
                <w:sz w:val="11"/>
                <w:szCs w:val="11"/>
                <w:color w:val="auto"/>
              </w:rPr>
            </w:pPr>
          </w:p>
        </w:tc>
        <w:tc>
          <w:tcPr>
            <w:tcW w:w="2420" w:type="dxa"/>
            <w:vAlign w:val="bottom"/>
            <w:tcBorders>
              <w:bottom w:val="single" w:sz="8" w:color="auto"/>
            </w:tcBorders>
            <w:gridSpan w:val="3"/>
          </w:tcPr>
          <w:p>
            <w:pPr>
              <w:jc w:val="right"/>
              <w:ind w:right="292"/>
              <w:spacing w:after="0" w:line="129" w:lineRule="exact"/>
              <w:rPr>
                <w:sz w:val="20"/>
                <w:szCs w:val="20"/>
                <w:color w:val="auto"/>
              </w:rPr>
            </w:pPr>
            <w:r>
              <w:rPr>
                <w:rFonts w:ascii="Arial" w:cs="Arial" w:eastAsia="Arial" w:hAnsi="Arial"/>
                <w:sz w:val="12"/>
                <w:szCs w:val="12"/>
                <w:b w:val="1"/>
                <w:bCs w:val="1"/>
                <w:color w:val="auto"/>
              </w:rPr>
              <w:t>Three Months Ended</w:t>
            </w: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2"/>
          </w:tcPr>
          <w:p>
            <w:pPr>
              <w:jc w:val="right"/>
              <w:ind w:right="272"/>
              <w:spacing w:after="0" w:line="129" w:lineRule="exact"/>
              <w:rPr>
                <w:sz w:val="20"/>
                <w:szCs w:val="20"/>
                <w:color w:val="auto"/>
              </w:rPr>
            </w:pPr>
            <w:r>
              <w:rPr>
                <w:rFonts w:ascii="Arial" w:cs="Arial" w:eastAsia="Arial" w:hAnsi="Arial"/>
                <w:sz w:val="12"/>
                <w:szCs w:val="12"/>
                <w:b w:val="1"/>
                <w:bCs w:val="1"/>
                <w:color w:val="auto"/>
              </w:rPr>
              <w:t>Six Months Ended</w:t>
            </w:r>
          </w:p>
        </w:tc>
      </w:tr>
      <w:tr>
        <w:trPr>
          <w:trHeight w:val="114"/>
        </w:trPr>
        <w:tc>
          <w:tcPr>
            <w:tcW w:w="5720" w:type="dxa"/>
            <w:vAlign w:val="bottom"/>
          </w:tcPr>
          <w:p>
            <w:pPr>
              <w:spacing w:after="0"/>
              <w:rPr>
                <w:sz w:val="9"/>
                <w:szCs w:val="9"/>
                <w:color w:val="auto"/>
              </w:rPr>
            </w:pPr>
          </w:p>
        </w:tc>
        <w:tc>
          <w:tcPr>
            <w:tcW w:w="960" w:type="dxa"/>
            <w:vAlign w:val="bottom"/>
          </w:tcPr>
          <w:p>
            <w:pPr>
              <w:jc w:val="right"/>
              <w:spacing w:after="0" w:line="114" w:lineRule="exact"/>
              <w:rPr>
                <w:sz w:val="20"/>
                <w:szCs w:val="20"/>
                <w:color w:val="auto"/>
              </w:rPr>
            </w:pPr>
            <w:r>
              <w:rPr>
                <w:rFonts w:ascii="Arial" w:cs="Arial" w:eastAsia="Arial" w:hAnsi="Arial"/>
                <w:sz w:val="12"/>
                <w:szCs w:val="12"/>
                <w:b w:val="1"/>
                <w:bCs w:val="1"/>
                <w:color w:val="auto"/>
              </w:rPr>
              <w:t>June 30,</w:t>
            </w:r>
          </w:p>
        </w:tc>
        <w:tc>
          <w:tcPr>
            <w:tcW w:w="540" w:type="dxa"/>
            <w:vAlign w:val="bottom"/>
          </w:tcPr>
          <w:p>
            <w:pPr>
              <w:spacing w:after="0"/>
              <w:rPr>
                <w:sz w:val="9"/>
                <w:szCs w:val="9"/>
                <w:color w:val="auto"/>
              </w:rPr>
            </w:pPr>
          </w:p>
        </w:tc>
        <w:tc>
          <w:tcPr>
            <w:tcW w:w="920" w:type="dxa"/>
            <w:vAlign w:val="bottom"/>
          </w:tcPr>
          <w:p>
            <w:pPr>
              <w:jc w:val="right"/>
              <w:spacing w:after="0" w:line="114" w:lineRule="exact"/>
              <w:rPr>
                <w:sz w:val="20"/>
                <w:szCs w:val="20"/>
                <w:color w:val="auto"/>
              </w:rPr>
            </w:pPr>
            <w:r>
              <w:rPr>
                <w:rFonts w:ascii="Arial" w:cs="Arial" w:eastAsia="Arial" w:hAnsi="Arial"/>
                <w:sz w:val="12"/>
                <w:szCs w:val="12"/>
                <w:color w:val="auto"/>
              </w:rPr>
              <w:t>July 3,</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jc w:val="right"/>
              <w:ind w:right="470"/>
              <w:spacing w:after="0" w:line="114" w:lineRule="exact"/>
              <w:rPr>
                <w:sz w:val="20"/>
                <w:szCs w:val="20"/>
                <w:color w:val="auto"/>
              </w:rPr>
            </w:pPr>
            <w:r>
              <w:rPr>
                <w:rFonts w:ascii="Arial" w:cs="Arial" w:eastAsia="Arial" w:hAnsi="Arial"/>
                <w:sz w:val="12"/>
                <w:szCs w:val="12"/>
                <w:b w:val="1"/>
                <w:bCs w:val="1"/>
                <w:color w:val="auto"/>
              </w:rPr>
              <w:t>June 30,</w:t>
            </w:r>
          </w:p>
        </w:tc>
        <w:tc>
          <w:tcPr>
            <w:tcW w:w="760" w:type="dxa"/>
            <w:vAlign w:val="bottom"/>
          </w:tcPr>
          <w:p>
            <w:pPr>
              <w:jc w:val="right"/>
              <w:spacing w:after="0" w:line="114" w:lineRule="exact"/>
              <w:rPr>
                <w:sz w:val="20"/>
                <w:szCs w:val="20"/>
                <w:color w:val="auto"/>
              </w:rPr>
            </w:pPr>
            <w:r>
              <w:rPr>
                <w:rFonts w:ascii="Arial" w:cs="Arial" w:eastAsia="Arial" w:hAnsi="Arial"/>
                <w:sz w:val="12"/>
                <w:szCs w:val="12"/>
                <w:color w:val="auto"/>
              </w:rPr>
              <w:t>July 3</w:t>
            </w:r>
          </w:p>
        </w:tc>
      </w:tr>
      <w:tr>
        <w:trPr>
          <w:trHeight w:val="151"/>
        </w:trPr>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2"/>
                <w:szCs w:val="12"/>
                <w:b w:val="1"/>
                <w:bCs w:val="1"/>
                <w:color w:val="auto"/>
              </w:rPr>
              <w:t>2012</w:t>
            </w: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color w:val="auto"/>
              </w:rPr>
              <w:t>2011</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2012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960" w:type="dxa"/>
            <w:vAlign w:val="bottom"/>
          </w:tcPr>
          <w:p>
            <w:pPr>
              <w:jc w:val="right"/>
              <w:ind w:right="653"/>
              <w:spacing w:after="0" w:line="150" w:lineRule="exact"/>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366</w:t>
            </w:r>
          </w:p>
        </w:tc>
        <w:tc>
          <w:tcPr>
            <w:tcW w:w="920" w:type="dxa"/>
            <w:vAlign w:val="bottom"/>
          </w:tcPr>
          <w:p>
            <w:pPr>
              <w:jc w:val="right"/>
              <w:ind w:right="632"/>
              <w:spacing w:after="0" w:line="150"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188"/>
              <w:spacing w:after="0" w:line="150" w:lineRule="exact"/>
              <w:rPr>
                <w:sz w:val="20"/>
                <w:szCs w:val="20"/>
                <w:color w:val="auto"/>
              </w:rPr>
            </w:pPr>
            <w:r>
              <w:rPr>
                <w:rFonts w:ascii="Arial" w:cs="Arial" w:eastAsia="Arial" w:hAnsi="Arial"/>
                <w:sz w:val="15"/>
                <w:szCs w:val="15"/>
                <w:color w:val="auto"/>
              </w:rPr>
              <w:t>380</w:t>
            </w:r>
          </w:p>
        </w:tc>
        <w:tc>
          <w:tcPr>
            <w:tcW w:w="24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90"/>
              <w:spacing w:after="0" w:line="150" w:lineRule="exact"/>
              <w:rPr>
                <w:sz w:val="20"/>
                <w:szCs w:val="20"/>
                <w:color w:val="auto"/>
              </w:rPr>
            </w:pPr>
            <w:r>
              <w:rPr>
                <w:rFonts w:ascii="Arial" w:cs="Arial" w:eastAsia="Arial" w:hAnsi="Arial"/>
                <w:sz w:val="15"/>
                <w:szCs w:val="15"/>
                <w:b w:val="1"/>
                <w:bCs w:val="1"/>
                <w:color w:val="auto"/>
              </w:rPr>
              <w:t>733</w:t>
            </w:r>
          </w:p>
        </w:tc>
        <w:tc>
          <w:tcPr>
            <w:tcW w:w="760" w:type="dxa"/>
            <w:vAlign w:val="bottom"/>
          </w:tcPr>
          <w:p>
            <w:pPr>
              <w:jc w:val="right"/>
              <w:ind w:right="472"/>
              <w:spacing w:after="0" w:line="150" w:lineRule="exact"/>
              <w:rPr>
                <w:sz w:val="20"/>
                <w:szCs w:val="20"/>
                <w:color w:val="auto"/>
              </w:rPr>
            </w:pPr>
            <w:r>
              <w:rPr>
                <w:rFonts w:ascii="Arial" w:cs="Arial" w:eastAsia="Arial" w:hAnsi="Arial"/>
                <w:sz w:val="15"/>
                <w:szCs w:val="15"/>
                <w:color w:val="auto"/>
              </w:rPr>
              <w:t>$</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Interest cost</w:t>
            </w:r>
          </w:p>
        </w:tc>
        <w:tc>
          <w:tcPr>
            <w:tcW w:w="96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5"/>
                <w:szCs w:val="15"/>
                <w:b w:val="1"/>
                <w:bCs w:val="1"/>
                <w:color w:val="auto"/>
              </w:rPr>
              <w:t>1,061</w:t>
            </w:r>
          </w:p>
        </w:tc>
        <w:tc>
          <w:tcPr>
            <w:tcW w:w="920" w:type="dxa"/>
            <w:vAlign w:val="bottom"/>
          </w:tcPr>
          <w:p>
            <w:pPr>
              <w:spacing w:after="0"/>
              <w:rPr>
                <w:sz w:val="15"/>
                <w:szCs w:val="15"/>
                <w:color w:val="auto"/>
              </w:rPr>
            </w:pPr>
          </w:p>
        </w:tc>
        <w:tc>
          <w:tcPr>
            <w:tcW w:w="660" w:type="dxa"/>
            <w:vAlign w:val="bottom"/>
          </w:tcPr>
          <w:p>
            <w:pPr>
              <w:jc w:val="right"/>
              <w:ind w:right="188"/>
              <w:spacing w:after="0"/>
              <w:rPr>
                <w:sz w:val="20"/>
                <w:szCs w:val="20"/>
                <w:color w:val="auto"/>
              </w:rPr>
            </w:pPr>
            <w:r>
              <w:rPr>
                <w:rFonts w:ascii="Arial" w:cs="Arial" w:eastAsia="Arial" w:hAnsi="Arial"/>
                <w:sz w:val="15"/>
                <w:szCs w:val="15"/>
                <w:color w:val="auto"/>
              </w:rPr>
              <w:t>1,084</w:t>
            </w:r>
          </w:p>
        </w:tc>
        <w:tc>
          <w:tcPr>
            <w:tcW w:w="24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Arial" w:cs="Arial" w:eastAsia="Arial" w:hAnsi="Arial"/>
                <w:sz w:val="15"/>
                <w:szCs w:val="15"/>
                <w:b w:val="1"/>
                <w:bCs w:val="1"/>
                <w:color w:val="auto"/>
              </w:rPr>
              <w:t>2,121</w:t>
            </w:r>
          </w:p>
        </w:tc>
        <w:tc>
          <w:tcPr>
            <w:tcW w:w="76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96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5"/>
                <w:szCs w:val="15"/>
                <w:b w:val="1"/>
                <w:bCs w:val="1"/>
                <w:color w:val="auto"/>
              </w:rPr>
              <w:t>13</w:t>
            </w:r>
          </w:p>
        </w:tc>
        <w:tc>
          <w:tcPr>
            <w:tcW w:w="920" w:type="dxa"/>
            <w:vAlign w:val="bottom"/>
          </w:tcPr>
          <w:p>
            <w:pPr>
              <w:spacing w:after="0"/>
              <w:rPr>
                <w:sz w:val="15"/>
                <w:szCs w:val="15"/>
                <w:color w:val="auto"/>
              </w:rPr>
            </w:pPr>
          </w:p>
        </w:tc>
        <w:tc>
          <w:tcPr>
            <w:tcW w:w="660" w:type="dxa"/>
            <w:vAlign w:val="bottom"/>
          </w:tcPr>
          <w:p>
            <w:pPr>
              <w:jc w:val="right"/>
              <w:ind w:right="188"/>
              <w:spacing w:after="0"/>
              <w:rPr>
                <w:sz w:val="20"/>
                <w:szCs w:val="20"/>
                <w:color w:val="auto"/>
              </w:rPr>
            </w:pPr>
            <w:r>
              <w:rPr>
                <w:rFonts w:ascii="Arial" w:cs="Arial" w:eastAsia="Arial" w:hAnsi="Arial"/>
                <w:sz w:val="15"/>
                <w:szCs w:val="15"/>
                <w:color w:val="auto"/>
              </w:rPr>
              <w:t>65</w:t>
            </w:r>
          </w:p>
        </w:tc>
        <w:tc>
          <w:tcPr>
            <w:tcW w:w="24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Arial" w:cs="Arial" w:eastAsia="Arial" w:hAnsi="Arial"/>
                <w:sz w:val="15"/>
                <w:szCs w:val="15"/>
                <w:b w:val="1"/>
                <w:bCs w:val="1"/>
                <w:color w:val="auto"/>
              </w:rPr>
              <w:t>27</w:t>
            </w:r>
          </w:p>
        </w:tc>
        <w:tc>
          <w:tcPr>
            <w:tcW w:w="760" w:type="dxa"/>
            <w:vAlign w:val="bottom"/>
          </w:tcPr>
          <w:p>
            <w:pPr>
              <w:spacing w:after="0"/>
              <w:rPr>
                <w:sz w:val="15"/>
                <w:szCs w:val="15"/>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459</w:t>
            </w: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353</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5"/>
                <w:szCs w:val="15"/>
                <w:b w:val="1"/>
                <w:bCs w:val="1"/>
                <w:color w:val="auto"/>
              </w:rPr>
              <w:t>917</w:t>
            </w:r>
          </w:p>
        </w:tc>
        <w:tc>
          <w:tcPr>
            <w:tcW w:w="760" w:type="dxa"/>
            <w:vAlign w:val="bottom"/>
            <w:tcBorders>
              <w:bottom w:val="single" w:sz="8" w:color="auto"/>
            </w:tcBorders>
          </w:tcPr>
          <w:p>
            <w:pPr>
              <w:spacing w:after="0"/>
              <w:rPr>
                <w:sz w:val="16"/>
                <w:szCs w:val="16"/>
                <w:color w:val="auto"/>
              </w:rPr>
            </w:pPr>
          </w:p>
        </w:tc>
      </w:tr>
      <w:tr>
        <w:trPr>
          <w:trHeight w:val="166"/>
        </w:trPr>
        <w:tc>
          <w:tcPr>
            <w:tcW w:w="572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w:t>
            </w:r>
          </w:p>
        </w:tc>
        <w:tc>
          <w:tcPr>
            <w:tcW w:w="960" w:type="dxa"/>
            <w:vAlign w:val="bottom"/>
            <w:tcBorders>
              <w:bottom w:val="single" w:sz="8" w:color="auto"/>
            </w:tcBorders>
          </w:tcPr>
          <w:p>
            <w:pPr>
              <w:jc w:val="right"/>
              <w:ind w:right="653"/>
              <w:spacing w:after="0" w:line="167" w:lineRule="exact"/>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1,899</w:t>
            </w:r>
          </w:p>
        </w:tc>
        <w:tc>
          <w:tcPr>
            <w:tcW w:w="920" w:type="dxa"/>
            <w:vAlign w:val="bottom"/>
            <w:tcBorders>
              <w:bottom w:val="single" w:sz="8" w:color="auto"/>
            </w:tcBorders>
          </w:tcPr>
          <w:p>
            <w:pPr>
              <w:jc w:val="right"/>
              <w:ind w:right="632"/>
              <w:spacing w:after="0" w:line="167"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188"/>
              <w:spacing w:after="0" w:line="167" w:lineRule="exact"/>
              <w:rPr>
                <w:sz w:val="20"/>
                <w:szCs w:val="20"/>
                <w:color w:val="auto"/>
              </w:rPr>
            </w:pPr>
            <w:r>
              <w:rPr>
                <w:rFonts w:ascii="Arial" w:cs="Arial" w:eastAsia="Arial" w:hAnsi="Arial"/>
                <w:sz w:val="15"/>
                <w:szCs w:val="15"/>
                <w:color w:val="auto"/>
              </w:rPr>
              <w:t>1,882</w:t>
            </w:r>
          </w:p>
        </w:tc>
        <w:tc>
          <w:tcPr>
            <w:tcW w:w="2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90"/>
              <w:spacing w:after="0" w:line="167" w:lineRule="exact"/>
              <w:rPr>
                <w:sz w:val="20"/>
                <w:szCs w:val="20"/>
                <w:color w:val="auto"/>
              </w:rPr>
            </w:pPr>
            <w:r>
              <w:rPr>
                <w:rFonts w:ascii="Arial" w:cs="Arial" w:eastAsia="Arial" w:hAnsi="Arial"/>
                <w:sz w:val="15"/>
                <w:szCs w:val="15"/>
                <w:b w:val="1"/>
                <w:bCs w:val="1"/>
                <w:color w:val="auto"/>
              </w:rPr>
              <w:t>3,798</w:t>
            </w:r>
          </w:p>
        </w:tc>
        <w:tc>
          <w:tcPr>
            <w:tcW w:w="760" w:type="dxa"/>
            <w:vAlign w:val="bottom"/>
            <w:tcBorders>
              <w:bottom w:val="single" w:sz="8" w:color="auto"/>
            </w:tcBorders>
          </w:tcPr>
          <w:p>
            <w:pPr>
              <w:jc w:val="right"/>
              <w:ind w:right="472"/>
              <w:spacing w:after="0" w:line="167"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b w:val="1"/>
          <w:bCs w:val="1"/>
          <w:color w:val="auto"/>
        </w:rPr>
        <w:t>Defined Benefit Plan Assets</w:t>
      </w:r>
      <w:r>
        <w:rPr>
          <w:rFonts w:ascii="Arial" w:cs="Arial" w:eastAsia="Arial" w:hAnsi="Arial"/>
          <w:sz w:val="17"/>
          <w:szCs w:val="17"/>
          <w:color w:val="auto"/>
        </w:rPr>
        <w:t>. The Company’s defined benefit pension obligations are funded by a portfolio made up of a relatively small number of s</w:t>
      </w:r>
      <w:r>
        <w:rPr>
          <w:rFonts w:ascii="Arial" w:cs="Arial" w:eastAsia="Arial" w:hAnsi="Arial"/>
          <w:sz w:val="17"/>
          <w:szCs w:val="17"/>
          <w:b w:val="1"/>
          <w:bCs w:val="1"/>
          <w:color w:val="auto"/>
        </w:rPr>
        <w:t xml:space="preserve"> </w:t>
      </w:r>
      <w:r>
        <w:rPr>
          <w:rFonts w:ascii="Arial" w:cs="Arial" w:eastAsia="Arial" w:hAnsi="Arial"/>
          <w:sz w:val="17"/>
          <w:szCs w:val="17"/>
          <w:color w:val="auto"/>
        </w:rPr>
        <w:t>and high-quality fixed-income securities that are held by a third-party trustee. As of June 30, 2012 and December 31, 2011, the assets of the Compan pension plans were allocated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1080" w:type="dxa"/>
            <w:vAlign w:val="bottom"/>
          </w:tcPr>
          <w:p>
            <w:pPr>
              <w:jc w:val="center"/>
              <w:ind w:left="478"/>
              <w:spacing w:after="0"/>
              <w:rPr>
                <w:sz w:val="20"/>
                <w:szCs w:val="20"/>
                <w:color w:val="auto"/>
              </w:rPr>
            </w:pPr>
            <w:r>
              <w:rPr>
                <w:rFonts w:ascii="Arial" w:cs="Arial" w:eastAsia="Arial" w:hAnsi="Arial"/>
                <w:sz w:val="12"/>
                <w:szCs w:val="12"/>
                <w:b w:val="1"/>
                <w:bCs w:val="1"/>
                <w:color w:val="auto"/>
              </w:rPr>
              <w:t>June 30,</w:t>
            </w:r>
          </w:p>
        </w:tc>
        <w:tc>
          <w:tcPr>
            <w:tcW w:w="1860" w:type="dxa"/>
            <w:vAlign w:val="bottom"/>
          </w:tcPr>
          <w:p>
            <w:pPr>
              <w:jc w:val="right"/>
              <w:spacing w:after="0"/>
              <w:rPr>
                <w:sz w:val="20"/>
                <w:szCs w:val="20"/>
                <w:color w:val="auto"/>
              </w:rPr>
            </w:pPr>
            <w:r>
              <w:rPr>
                <w:rFonts w:ascii="Arial" w:cs="Arial" w:eastAsia="Arial" w:hAnsi="Arial"/>
                <w:sz w:val="12"/>
                <w:szCs w:val="12"/>
                <w:color w:val="auto"/>
              </w:rPr>
              <w:t>December 3</w:t>
            </w:r>
          </w:p>
        </w:tc>
      </w:tr>
      <w:tr>
        <w:trPr>
          <w:trHeight w:val="151"/>
        </w:trPr>
        <w:tc>
          <w:tcPr>
            <w:tcW w:w="908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2"/>
                <w:szCs w:val="12"/>
                <w:b w:val="1"/>
                <w:bCs w:val="1"/>
                <w:color w:val="auto"/>
              </w:rPr>
              <w:t>2012</w:t>
            </w:r>
          </w:p>
        </w:tc>
        <w:tc>
          <w:tcPr>
            <w:tcW w:w="186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color w:val="auto"/>
              </w:rPr>
              <w:t>2011</w:t>
            </w:r>
          </w:p>
        </w:tc>
      </w:tr>
      <w:tr>
        <w:trPr>
          <w:trHeight w:val="150"/>
        </w:trPr>
        <w:tc>
          <w:tcPr>
            <w:tcW w:w="9080" w:type="dxa"/>
            <w:vAlign w:val="bottom"/>
            <w:gridSpan w:val="2"/>
          </w:tcPr>
          <w:p>
            <w:pPr>
              <w:spacing w:after="0" w:line="150" w:lineRule="exact"/>
              <w:rPr>
                <w:sz w:val="20"/>
                <w:szCs w:val="20"/>
                <w:color w:val="auto"/>
              </w:rPr>
            </w:pPr>
            <w:r>
              <w:rPr>
                <w:rFonts w:ascii="Arial" w:cs="Arial" w:eastAsia="Arial" w:hAnsi="Arial"/>
                <w:sz w:val="15"/>
                <w:szCs w:val="15"/>
                <w:color w:val="auto"/>
              </w:rPr>
              <w:t>U.S. equities</w:t>
            </w:r>
          </w:p>
        </w:tc>
        <w:tc>
          <w:tcPr>
            <w:tcW w:w="1860" w:type="dxa"/>
            <w:vAlign w:val="bottom"/>
          </w:tcPr>
          <w:p>
            <w:pPr>
              <w:jc w:val="right"/>
              <w:ind w:right="1350"/>
              <w:spacing w:after="0" w:line="150" w:lineRule="exact"/>
              <w:rPr>
                <w:sz w:val="20"/>
                <w:szCs w:val="20"/>
                <w:color w:val="auto"/>
              </w:rPr>
            </w:pPr>
            <w:r>
              <w:rPr>
                <w:rFonts w:ascii="Arial" w:cs="Arial" w:eastAsia="Arial" w:hAnsi="Arial"/>
                <w:sz w:val="15"/>
                <w:szCs w:val="15"/>
                <w:b w:val="1"/>
                <w:bCs w:val="1"/>
                <w:color w:val="auto"/>
              </w:rPr>
              <w:t>68 %</w:t>
            </w:r>
          </w:p>
        </w:tc>
      </w:tr>
      <w:tr>
        <w:trPr>
          <w:trHeight w:val="174"/>
        </w:trPr>
        <w:tc>
          <w:tcPr>
            <w:tcW w:w="9080" w:type="dxa"/>
            <w:vAlign w:val="bottom"/>
            <w:gridSpan w:val="2"/>
          </w:tcPr>
          <w:p>
            <w:pPr>
              <w:spacing w:after="0"/>
              <w:rPr>
                <w:sz w:val="20"/>
                <w:szCs w:val="20"/>
                <w:color w:val="auto"/>
              </w:rPr>
            </w:pPr>
            <w:r>
              <w:rPr>
                <w:rFonts w:ascii="Arial" w:cs="Arial" w:eastAsia="Arial" w:hAnsi="Arial"/>
                <w:sz w:val="15"/>
                <w:szCs w:val="15"/>
                <w:color w:val="auto"/>
              </w:rPr>
              <w:t>U.S. fixed income</w:t>
            </w:r>
          </w:p>
        </w:tc>
        <w:tc>
          <w:tcPr>
            <w:tcW w:w="1860" w:type="dxa"/>
            <w:vAlign w:val="bottom"/>
          </w:tcPr>
          <w:p>
            <w:pPr>
              <w:jc w:val="right"/>
              <w:ind w:right="1350"/>
              <w:spacing w:after="0"/>
              <w:rPr>
                <w:sz w:val="20"/>
                <w:szCs w:val="20"/>
                <w:color w:val="auto"/>
              </w:rPr>
            </w:pPr>
            <w:r>
              <w:rPr>
                <w:rFonts w:ascii="Arial" w:cs="Arial" w:eastAsia="Arial" w:hAnsi="Arial"/>
                <w:sz w:val="15"/>
                <w:szCs w:val="15"/>
                <w:b w:val="1"/>
                <w:bCs w:val="1"/>
                <w:color w:val="auto"/>
              </w:rPr>
              <w:t>11 %</w:t>
            </w:r>
          </w:p>
        </w:tc>
      </w:tr>
      <w:tr>
        <w:trPr>
          <w:trHeight w:val="190"/>
        </w:trPr>
        <w:tc>
          <w:tcPr>
            <w:tcW w:w="9080" w:type="dxa"/>
            <w:vAlign w:val="bottom"/>
            <w:gridSpan w:val="2"/>
          </w:tcPr>
          <w:p>
            <w:pPr>
              <w:spacing w:after="0"/>
              <w:rPr>
                <w:sz w:val="20"/>
                <w:szCs w:val="20"/>
                <w:color w:val="auto"/>
              </w:rPr>
            </w:pPr>
            <w:r>
              <w:rPr>
                <w:rFonts w:ascii="Arial" w:cs="Arial" w:eastAsia="Arial" w:hAnsi="Arial"/>
                <w:sz w:val="15"/>
                <w:szCs w:val="15"/>
                <w:color w:val="auto"/>
              </w:rPr>
              <w:t>International equities</w:t>
            </w:r>
          </w:p>
        </w:tc>
        <w:tc>
          <w:tcPr>
            <w:tcW w:w="1860" w:type="dxa"/>
            <w:vAlign w:val="bottom"/>
          </w:tcPr>
          <w:p>
            <w:pPr>
              <w:jc w:val="right"/>
              <w:ind w:right="1350"/>
              <w:spacing w:after="0"/>
              <w:rPr>
                <w:sz w:val="20"/>
                <w:szCs w:val="20"/>
                <w:color w:val="auto"/>
              </w:rPr>
            </w:pPr>
            <w:r>
              <w:rPr>
                <w:rFonts w:ascii="Arial" w:cs="Arial" w:eastAsia="Arial" w:hAnsi="Arial"/>
                <w:sz w:val="15"/>
                <w:szCs w:val="15"/>
                <w:b w:val="1"/>
                <w:bCs w:val="1"/>
                <w:color w:val="auto"/>
              </w:rPr>
              <w:t>21 %</w:t>
            </w:r>
          </w:p>
        </w:tc>
      </w:tr>
      <w:tr>
        <w:trPr>
          <w:trHeight w:val="166"/>
        </w:trPr>
        <w:tc>
          <w:tcPr>
            <w:tcW w:w="8000" w:type="dxa"/>
            <w:vAlign w:val="bottom"/>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tcPr>
          <w:p>
            <w:pPr>
              <w:jc w:val="right"/>
              <w:ind w:right="1350"/>
              <w:spacing w:after="0" w:line="167" w:lineRule="exact"/>
              <w:rPr>
                <w:sz w:val="20"/>
                <w:szCs w:val="20"/>
                <w:color w:val="auto"/>
              </w:rPr>
            </w:pPr>
            <w:r>
              <w:rPr>
                <w:rFonts w:ascii="Arial" w:cs="Arial" w:eastAsia="Arial" w:hAnsi="Arial"/>
                <w:sz w:val="15"/>
                <w:szCs w:val="15"/>
                <w:b w:val="1"/>
                <w:bCs w:val="1"/>
                <w:color w:val="auto"/>
                <w:w w:val="98"/>
              </w:rPr>
              <w:t>100 %</w:t>
            </w:r>
          </w:p>
        </w:tc>
      </w:tr>
      <w:tr>
        <w:trPr>
          <w:trHeight w:val="20"/>
        </w:trPr>
        <w:tc>
          <w:tcPr>
            <w:tcW w:w="8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Essentially all of the assets are actively managed by two investment companies. The goal of the investment managers is to produce moderate long-te growth in the value of these assets, while protecting them against large decreases in value. Both of these managers may invest in a combination of eq and fixed-income securities and cash. The managers are not permitted to invest in securities of the Company or in alternative investments. The invest managers cannot invest more than 20% of the assets at the time of purchase in the stock of Berkshire Hathaway or more than 10% of the assets in th securities of any other single issuer, except for obligations of the U.S. Government, without receiving prior approval by the Plan administrator. As of Ju 2012,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determining the expected rate of return on plan assets, the Company considers the relative weighting of plan assets, the historical performance of t plan assets and individual asset classes and economic and other indicators of future performance. In addition, the Company may consult with and con the input of financial and other professionals in developing appropriate return benchmarks.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assets) of credit risk as of June 30, 2012. Types of concentrations that were evaluated include, but are not limited to, investment concentrations in a si entity, type of industry, foreign country and individual fund. Assets included $167.6 million and $154.0 million of Berkshire Hathaway common stock at 30, 2012 and December 31, 2011, respectively. At June 30, 2012 the Company held investments in one foreign country which exceeded 10% of total assets. These investments were valued at $193.6 million and $241.4 million at June 30, 2012 and December 31, 2011, respectively, or approximately and 13%, respectively, of total plan assets.</w:t>
      </w:r>
    </w:p>
    <w:p>
      <w:pPr>
        <w:spacing w:after="0" w:line="1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4" w:right="13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7"/>
          <w:szCs w:val="17"/>
          <w:b w:val="1"/>
          <w:bCs w:val="1"/>
          <w:color w:val="auto"/>
        </w:rPr>
        <w:t>Other Postretirement Plans</w:t>
      </w:r>
      <w:r>
        <w:rPr>
          <w:rFonts w:ascii="Arial" w:cs="Arial" w:eastAsia="Arial" w:hAnsi="Arial"/>
          <w:sz w:val="17"/>
          <w:szCs w:val="17"/>
          <w:color w:val="auto"/>
        </w:rPr>
        <w:t>. The total benefit arising from the Company’s other postretirement plans for the three and six months ended June 30, 20</w:t>
      </w:r>
      <w:r>
        <w:rPr>
          <w:rFonts w:ascii="Arial" w:cs="Arial" w:eastAsia="Arial" w:hAnsi="Arial"/>
          <w:sz w:val="17"/>
          <w:szCs w:val="17"/>
          <w:b w:val="1"/>
          <w:bCs w:val="1"/>
          <w:color w:val="auto"/>
        </w:rPr>
        <w:t xml:space="preserve"> </w:t>
      </w:r>
      <w:r>
        <w:rPr>
          <w:rFonts w:ascii="Arial" w:cs="Arial" w:eastAsia="Arial" w:hAnsi="Arial"/>
          <w:sz w:val="17"/>
          <w:szCs w:val="17"/>
          <w:color w:val="auto"/>
        </w:rPr>
        <w:t>and July 3, 2011, consists of the following components: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769"/>
              <w:spacing w:after="0"/>
              <w:rPr>
                <w:sz w:val="20"/>
                <w:szCs w:val="20"/>
                <w:color w:val="auto"/>
              </w:rPr>
            </w:pPr>
            <w:r>
              <w:rPr>
                <w:rFonts w:ascii="Arial" w:cs="Arial" w:eastAsia="Arial" w:hAnsi="Arial"/>
                <w:sz w:val="12"/>
                <w:szCs w:val="12"/>
                <w:b w:val="1"/>
                <w:bCs w:val="1"/>
                <w:color w:val="auto"/>
              </w:rPr>
              <w:t>Three Months Ended</w:t>
            </w:r>
          </w:p>
        </w:tc>
        <w:tc>
          <w:tcPr>
            <w:tcW w:w="4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2"/>
                <w:szCs w:val="12"/>
                <w:b w:val="1"/>
                <w:bCs w:val="1"/>
                <w:color w:val="auto"/>
              </w:rPr>
              <w:t>Six Months Ended</w:t>
            </w:r>
          </w:p>
        </w:tc>
      </w:tr>
      <w:tr>
        <w:trPr>
          <w:trHeight w:val="114"/>
        </w:trPr>
        <w:tc>
          <w:tcPr>
            <w:tcW w:w="5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jc w:val="right"/>
              <w:ind w:right="410"/>
              <w:spacing w:after="0" w:line="114" w:lineRule="exact"/>
              <w:rPr>
                <w:sz w:val="20"/>
                <w:szCs w:val="20"/>
                <w:color w:val="auto"/>
              </w:rPr>
            </w:pPr>
            <w:r>
              <w:rPr>
                <w:rFonts w:ascii="Arial" w:cs="Arial" w:eastAsia="Arial" w:hAnsi="Arial"/>
                <w:sz w:val="12"/>
                <w:szCs w:val="12"/>
                <w:b w:val="1"/>
                <w:bCs w:val="1"/>
                <w:color w:val="auto"/>
              </w:rPr>
              <w:t>June 30,</w:t>
            </w:r>
          </w:p>
        </w:tc>
        <w:tc>
          <w:tcPr>
            <w:tcW w:w="440" w:type="dxa"/>
            <w:vAlign w:val="bottom"/>
          </w:tcPr>
          <w:p>
            <w:pPr>
              <w:spacing w:after="0"/>
              <w:rPr>
                <w:sz w:val="9"/>
                <w:szCs w:val="9"/>
                <w:color w:val="auto"/>
              </w:rPr>
            </w:pPr>
          </w:p>
        </w:tc>
        <w:tc>
          <w:tcPr>
            <w:tcW w:w="1040" w:type="dxa"/>
            <w:vAlign w:val="bottom"/>
          </w:tcPr>
          <w:p>
            <w:pPr>
              <w:jc w:val="right"/>
              <w:ind w:right="469"/>
              <w:spacing w:after="0" w:line="114" w:lineRule="exact"/>
              <w:rPr>
                <w:sz w:val="20"/>
                <w:szCs w:val="20"/>
                <w:color w:val="auto"/>
              </w:rPr>
            </w:pPr>
            <w:r>
              <w:rPr>
                <w:rFonts w:ascii="Arial" w:cs="Arial" w:eastAsia="Arial" w:hAnsi="Arial"/>
                <w:sz w:val="12"/>
                <w:szCs w:val="12"/>
                <w:color w:val="auto"/>
              </w:rPr>
              <w:t>July 3,</w:t>
            </w:r>
          </w:p>
        </w:tc>
        <w:tc>
          <w:tcPr>
            <w:tcW w:w="420" w:type="dxa"/>
            <w:vAlign w:val="bottom"/>
          </w:tcPr>
          <w:p>
            <w:pPr>
              <w:spacing w:after="0"/>
              <w:rPr>
                <w:sz w:val="9"/>
                <w:szCs w:val="9"/>
                <w:color w:val="auto"/>
              </w:rPr>
            </w:pPr>
          </w:p>
        </w:tc>
        <w:tc>
          <w:tcPr>
            <w:tcW w:w="1060" w:type="dxa"/>
            <w:vAlign w:val="bottom"/>
          </w:tcPr>
          <w:p>
            <w:pPr>
              <w:jc w:val="right"/>
              <w:ind w:right="390"/>
              <w:spacing w:after="0" w:line="114" w:lineRule="exact"/>
              <w:rPr>
                <w:sz w:val="20"/>
                <w:szCs w:val="20"/>
                <w:color w:val="auto"/>
              </w:rPr>
            </w:pPr>
            <w:r>
              <w:rPr>
                <w:rFonts w:ascii="Arial" w:cs="Arial" w:eastAsia="Arial" w:hAnsi="Arial"/>
                <w:sz w:val="12"/>
                <w:szCs w:val="12"/>
                <w:b w:val="1"/>
                <w:bCs w:val="1"/>
                <w:color w:val="auto"/>
              </w:rPr>
              <w:t>June 30,</w:t>
            </w:r>
          </w:p>
        </w:tc>
        <w:tc>
          <w:tcPr>
            <w:tcW w:w="840" w:type="dxa"/>
            <w:vAlign w:val="bottom"/>
          </w:tcPr>
          <w:p>
            <w:pPr>
              <w:jc w:val="right"/>
              <w:spacing w:after="0" w:line="114" w:lineRule="exact"/>
              <w:rPr>
                <w:sz w:val="20"/>
                <w:szCs w:val="20"/>
                <w:color w:val="auto"/>
              </w:rPr>
            </w:pPr>
            <w:r>
              <w:rPr>
                <w:rFonts w:ascii="Arial" w:cs="Arial" w:eastAsia="Arial" w:hAnsi="Arial"/>
                <w:sz w:val="12"/>
                <w:szCs w:val="12"/>
                <w:color w:val="auto"/>
              </w:rPr>
              <w:t>July 3</w:t>
            </w:r>
          </w:p>
        </w:tc>
      </w:tr>
      <w:tr>
        <w:trPr>
          <w:trHeight w:val="151"/>
        </w:trPr>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color w:val="auto"/>
              </w:rPr>
              <w:t>2011</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260" w:type="dxa"/>
            <w:vAlign w:val="bottom"/>
          </w:tcPr>
          <w:p>
            <w:pPr>
              <w:jc w:val="right"/>
              <w:ind w:right="106"/>
              <w:spacing w:after="0" w:line="150" w:lineRule="exact"/>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779</w:t>
            </w:r>
          </w:p>
        </w:tc>
        <w:tc>
          <w:tcPr>
            <w:tcW w:w="4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9"/>
              <w:spacing w:after="0" w:line="150" w:lineRule="exact"/>
              <w:rPr>
                <w:sz w:val="20"/>
                <w:szCs w:val="20"/>
                <w:color w:val="auto"/>
              </w:rPr>
            </w:pPr>
            <w:r>
              <w:rPr>
                <w:rFonts w:ascii="Arial" w:cs="Arial" w:eastAsia="Arial" w:hAnsi="Arial"/>
                <w:sz w:val="15"/>
                <w:szCs w:val="15"/>
                <w:color w:val="auto"/>
              </w:rPr>
              <w:t>718</w:t>
            </w:r>
          </w:p>
        </w:tc>
        <w:tc>
          <w:tcPr>
            <w:tcW w:w="42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1,557</w:t>
            </w:r>
          </w:p>
        </w:tc>
        <w:tc>
          <w:tcPr>
            <w:tcW w:w="840" w:type="dxa"/>
            <w:vAlign w:val="bottom"/>
          </w:tcPr>
          <w:p>
            <w:pPr>
              <w:jc w:val="right"/>
              <w:ind w:right="471"/>
              <w:spacing w:after="0" w:line="150" w:lineRule="exact"/>
              <w:rPr>
                <w:sz w:val="20"/>
                <w:szCs w:val="20"/>
                <w:color w:val="auto"/>
              </w:rPr>
            </w:pPr>
            <w:r>
              <w:rPr>
                <w:rFonts w:ascii="Arial" w:cs="Arial" w:eastAsia="Arial" w:hAnsi="Arial"/>
                <w:sz w:val="15"/>
                <w:szCs w:val="15"/>
                <w:color w:val="auto"/>
              </w:rPr>
              <w:t>$</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Interest cost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684</w:t>
            </w:r>
          </w:p>
        </w:tc>
        <w:tc>
          <w:tcPr>
            <w:tcW w:w="4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color w:val="auto"/>
              </w:rPr>
              <w:t>765</w:t>
            </w:r>
          </w:p>
        </w:tc>
        <w:tc>
          <w:tcPr>
            <w:tcW w:w="4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5"/>
                <w:szCs w:val="15"/>
                <w:b w:val="1"/>
                <w:bCs w:val="1"/>
                <w:color w:val="auto"/>
              </w:rPr>
              <w:t>1,368</w:t>
            </w:r>
          </w:p>
        </w:tc>
        <w:tc>
          <w:tcPr>
            <w:tcW w:w="84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Amortization of prior service credit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(1,402)</w:t>
            </w:r>
          </w:p>
        </w:tc>
        <w:tc>
          <w:tcPr>
            <w:tcW w:w="44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5"/>
                <w:szCs w:val="15"/>
                <w:color w:val="auto"/>
              </w:rPr>
              <w:t>(1,412)</w:t>
            </w:r>
          </w:p>
        </w:tc>
        <w:tc>
          <w:tcPr>
            <w:tcW w:w="4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5"/>
                <w:szCs w:val="15"/>
                <w:b w:val="1"/>
                <w:bCs w:val="1"/>
                <w:color w:val="auto"/>
              </w:rPr>
              <w:t>(2,804)</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Recognized actuarial gain</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(370)</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(480)</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(740)</w:t>
            </w:r>
          </w:p>
        </w:tc>
        <w:tc>
          <w:tcPr>
            <w:tcW w:w="840" w:type="dxa"/>
            <w:vAlign w:val="bottom"/>
            <w:tcBorders>
              <w:bottom w:val="single" w:sz="8" w:color="auto"/>
            </w:tcBorders>
          </w:tcPr>
          <w:p>
            <w:pPr>
              <w:spacing w:after="0"/>
              <w:rPr>
                <w:sz w:val="16"/>
                <w:szCs w:val="16"/>
                <w:color w:val="auto"/>
              </w:rPr>
            </w:pPr>
          </w:p>
        </w:tc>
      </w:tr>
      <w:tr>
        <w:trPr>
          <w:trHeight w:val="166"/>
        </w:trPr>
        <w:tc>
          <w:tcPr>
            <w:tcW w:w="5720" w:type="dxa"/>
            <w:vAlign w:val="bottom"/>
          </w:tcPr>
          <w:p>
            <w:pPr>
              <w:spacing w:after="0" w:line="167" w:lineRule="exact"/>
              <w:rPr>
                <w:sz w:val="20"/>
                <w:szCs w:val="20"/>
                <w:color w:val="auto"/>
              </w:rPr>
            </w:pPr>
            <w:r>
              <w:rPr>
                <w:rFonts w:ascii="Arial" w:cs="Arial" w:eastAsia="Arial" w:hAnsi="Arial"/>
                <w:sz w:val="15"/>
                <w:szCs w:val="15"/>
                <w:b w:val="1"/>
                <w:bCs w:val="1"/>
                <w:color w:val="auto"/>
              </w:rPr>
              <w:t>Total Periodic Benefit</w:t>
            </w:r>
          </w:p>
        </w:tc>
        <w:tc>
          <w:tcPr>
            <w:tcW w:w="2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(309)</w:t>
            </w:r>
          </w:p>
        </w:tc>
        <w:tc>
          <w:tcPr>
            <w:tcW w:w="44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color w:val="auto"/>
              </w:rPr>
              <w:t>(409)</w:t>
            </w:r>
          </w:p>
        </w:tc>
        <w:tc>
          <w:tcPr>
            <w:tcW w:w="42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(619)</w:t>
            </w:r>
          </w:p>
        </w:tc>
        <w:tc>
          <w:tcPr>
            <w:tcW w:w="840" w:type="dxa"/>
            <w:vAlign w:val="bottom"/>
            <w:tcBorders>
              <w:bottom w:val="single" w:sz="8" w:color="auto"/>
            </w:tcBorders>
          </w:tcPr>
          <w:p>
            <w:pPr>
              <w:jc w:val="right"/>
              <w:ind w:right="611"/>
              <w:spacing w:after="0" w:line="167"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OTHER NON-OPERATING (EXPENSE) INCOME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(expense) income for the three and six months ended June 30, 2012 and July 3, 2011, is as follows:</w:t>
      </w:r>
    </w:p>
    <w:tbl>
      <w:tblPr>
        <w:tblLayout w:type="fixed"/>
        <w:tblInd w:w="0" w:type="dxa"/>
        <w:tblCellMar>
          <w:top w:w="0" w:type="dxa"/>
          <w:left w:w="0" w:type="dxa"/>
          <w:bottom w:w="0" w:type="dxa"/>
          <w:right w:w="0" w:type="dxa"/>
        </w:tblCellMar>
      </w:tblPr>
      <w:tr>
        <w:trPr>
          <w:trHeight w:val="137"/>
        </w:trPr>
        <w:tc>
          <w:tcPr>
            <w:tcW w:w="5720" w:type="dxa"/>
            <w:vAlign w:val="bottom"/>
          </w:tcPr>
          <w:p>
            <w:pPr>
              <w:spacing w:after="0"/>
              <w:rPr>
                <w:sz w:val="11"/>
                <w:szCs w:val="11"/>
                <w:color w:val="auto"/>
              </w:rPr>
            </w:pPr>
          </w:p>
        </w:tc>
        <w:tc>
          <w:tcPr>
            <w:tcW w:w="2900" w:type="dxa"/>
            <w:vAlign w:val="bottom"/>
            <w:tcBorders>
              <w:bottom w:val="single" w:sz="8" w:color="auto"/>
            </w:tcBorders>
            <w:gridSpan w:val="2"/>
          </w:tcPr>
          <w:p>
            <w:pPr>
              <w:ind w:left="820"/>
              <w:spacing w:after="0"/>
              <w:rPr>
                <w:sz w:val="20"/>
                <w:szCs w:val="20"/>
                <w:color w:val="auto"/>
              </w:rPr>
            </w:pPr>
            <w:r>
              <w:rPr>
                <w:rFonts w:ascii="Arial" w:cs="Arial" w:eastAsia="Arial" w:hAnsi="Arial"/>
                <w:sz w:val="12"/>
                <w:szCs w:val="12"/>
                <w:b w:val="1"/>
                <w:bCs w:val="1"/>
                <w:color w:val="auto"/>
              </w:rPr>
              <w:t>Three Months Ended</w:t>
            </w:r>
          </w:p>
        </w:tc>
        <w:tc>
          <w:tcPr>
            <w:tcW w:w="198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Six Months Ended</w:t>
            </w:r>
          </w:p>
        </w:tc>
        <w:tc>
          <w:tcPr>
            <w:tcW w:w="340" w:type="dxa"/>
            <w:vAlign w:val="bottom"/>
            <w:tcBorders>
              <w:bottom w:val="single" w:sz="8" w:color="auto"/>
            </w:tcBorders>
          </w:tcPr>
          <w:p>
            <w:pPr>
              <w:spacing w:after="0"/>
              <w:rPr>
                <w:sz w:val="11"/>
                <w:szCs w:val="11"/>
                <w:color w:val="auto"/>
              </w:rPr>
            </w:pPr>
          </w:p>
        </w:tc>
      </w:tr>
      <w:tr>
        <w:trPr>
          <w:trHeight w:val="114"/>
        </w:trPr>
        <w:tc>
          <w:tcPr>
            <w:tcW w:w="5720" w:type="dxa"/>
            <w:vAlign w:val="bottom"/>
          </w:tcPr>
          <w:p>
            <w:pPr>
              <w:spacing w:after="0"/>
              <w:rPr>
                <w:sz w:val="9"/>
                <w:szCs w:val="9"/>
                <w:color w:val="auto"/>
              </w:rPr>
            </w:pPr>
          </w:p>
        </w:tc>
        <w:tc>
          <w:tcPr>
            <w:tcW w:w="1480" w:type="dxa"/>
            <w:vAlign w:val="bottom"/>
          </w:tcPr>
          <w:p>
            <w:pPr>
              <w:jc w:val="center"/>
              <w:ind w:right="18"/>
              <w:spacing w:after="0" w:line="114" w:lineRule="exact"/>
              <w:rPr>
                <w:sz w:val="20"/>
                <w:szCs w:val="20"/>
                <w:color w:val="auto"/>
              </w:rPr>
            </w:pPr>
            <w:r>
              <w:rPr>
                <w:rFonts w:ascii="Arial" w:cs="Arial" w:eastAsia="Arial" w:hAnsi="Arial"/>
                <w:sz w:val="12"/>
                <w:szCs w:val="12"/>
                <w:b w:val="1"/>
                <w:bCs w:val="1"/>
                <w:color w:val="auto"/>
                <w:w w:val="99"/>
              </w:rPr>
              <w:t>June 30,</w:t>
            </w:r>
          </w:p>
        </w:tc>
        <w:tc>
          <w:tcPr>
            <w:tcW w:w="1420" w:type="dxa"/>
            <w:vAlign w:val="bottom"/>
          </w:tcPr>
          <w:p>
            <w:pPr>
              <w:jc w:val="center"/>
              <w:spacing w:after="0" w:line="114" w:lineRule="exact"/>
              <w:rPr>
                <w:sz w:val="20"/>
                <w:szCs w:val="20"/>
                <w:color w:val="auto"/>
              </w:rPr>
            </w:pPr>
            <w:r>
              <w:rPr>
                <w:rFonts w:ascii="Arial" w:cs="Arial" w:eastAsia="Arial" w:hAnsi="Arial"/>
                <w:sz w:val="12"/>
                <w:szCs w:val="12"/>
                <w:color w:val="auto"/>
              </w:rPr>
              <w:t>July 3,</w:t>
            </w:r>
          </w:p>
        </w:tc>
        <w:tc>
          <w:tcPr>
            <w:tcW w:w="1980" w:type="dxa"/>
            <w:vAlign w:val="bottom"/>
          </w:tcPr>
          <w:p>
            <w:pPr>
              <w:jc w:val="center"/>
              <w:ind w:right="378"/>
              <w:spacing w:after="0" w:line="114" w:lineRule="exact"/>
              <w:rPr>
                <w:sz w:val="20"/>
                <w:szCs w:val="20"/>
                <w:color w:val="auto"/>
              </w:rPr>
            </w:pPr>
            <w:r>
              <w:rPr>
                <w:rFonts w:ascii="Arial" w:cs="Arial" w:eastAsia="Arial" w:hAnsi="Arial"/>
                <w:sz w:val="12"/>
                <w:szCs w:val="12"/>
                <w:b w:val="1"/>
                <w:bCs w:val="1"/>
                <w:color w:val="auto"/>
              </w:rPr>
              <w:t>June 30,</w:t>
            </w:r>
          </w:p>
        </w:tc>
        <w:tc>
          <w:tcPr>
            <w:tcW w:w="340" w:type="dxa"/>
            <w:vAlign w:val="bottom"/>
          </w:tcPr>
          <w:p>
            <w:pPr>
              <w:jc w:val="center"/>
              <w:spacing w:after="0" w:line="114" w:lineRule="exact"/>
              <w:rPr>
                <w:sz w:val="20"/>
                <w:szCs w:val="20"/>
                <w:color w:val="auto"/>
              </w:rPr>
            </w:pPr>
            <w:r>
              <w:rPr>
                <w:rFonts w:ascii="Arial" w:cs="Arial" w:eastAsia="Arial" w:hAnsi="Arial"/>
                <w:sz w:val="12"/>
                <w:szCs w:val="12"/>
                <w:color w:val="auto"/>
              </w:rPr>
              <w:t>July 3</w:t>
            </w:r>
          </w:p>
        </w:tc>
      </w:tr>
      <w:tr>
        <w:trPr>
          <w:trHeight w:val="162"/>
        </w:trPr>
        <w:tc>
          <w:tcPr>
            <w:tcW w:w="5720" w:type="dxa"/>
            <w:vAlign w:val="bottom"/>
          </w:tcPr>
          <w:p>
            <w:pPr>
              <w:spacing w:after="0"/>
              <w:rPr>
                <w:sz w:val="20"/>
                <w:szCs w:val="20"/>
                <w:color w:val="auto"/>
              </w:rPr>
            </w:pPr>
            <w:r>
              <w:rPr>
                <w:rFonts w:ascii="Arial" w:cs="Arial" w:eastAsia="Arial" w:hAnsi="Arial"/>
                <w:sz w:val="12"/>
                <w:szCs w:val="12"/>
                <w:color w:val="auto"/>
              </w:rPr>
              <w:t>(in thousands)</w:t>
            </w:r>
          </w:p>
        </w:tc>
        <w:tc>
          <w:tcPr>
            <w:tcW w:w="1480" w:type="dxa"/>
            <w:vAlign w:val="bottom"/>
          </w:tcPr>
          <w:p>
            <w:pPr>
              <w:jc w:val="right"/>
              <w:ind w:right="598"/>
              <w:spacing w:after="0"/>
              <w:rPr>
                <w:sz w:val="20"/>
                <w:szCs w:val="20"/>
                <w:color w:val="auto"/>
              </w:rPr>
            </w:pPr>
            <w:r>
              <w:rPr>
                <w:rFonts w:ascii="Arial" w:cs="Arial" w:eastAsia="Arial" w:hAnsi="Arial"/>
                <w:sz w:val="12"/>
                <w:szCs w:val="12"/>
                <w:b w:val="1"/>
                <w:bCs w:val="1"/>
                <w:color w:val="auto"/>
              </w:rPr>
              <w:t>2012</w:t>
            </w:r>
          </w:p>
        </w:tc>
        <w:tc>
          <w:tcPr>
            <w:tcW w:w="1420" w:type="dxa"/>
            <w:vAlign w:val="bottom"/>
          </w:tcPr>
          <w:p>
            <w:pPr>
              <w:jc w:val="right"/>
              <w:ind w:right="538"/>
              <w:spacing w:after="0"/>
              <w:rPr>
                <w:sz w:val="20"/>
                <w:szCs w:val="20"/>
                <w:color w:val="auto"/>
              </w:rPr>
            </w:pPr>
            <w:r>
              <w:rPr>
                <w:rFonts w:ascii="Arial" w:cs="Arial" w:eastAsia="Arial" w:hAnsi="Arial"/>
                <w:sz w:val="12"/>
                <w:szCs w:val="12"/>
                <w:color w:val="auto"/>
              </w:rPr>
              <w:t>2011</w:t>
            </w:r>
          </w:p>
        </w:tc>
        <w:tc>
          <w:tcPr>
            <w:tcW w:w="1980" w:type="dxa"/>
            <w:vAlign w:val="bottom"/>
          </w:tcPr>
          <w:p>
            <w:pPr>
              <w:jc w:val="right"/>
              <w:ind w:right="1038"/>
              <w:spacing w:after="0"/>
              <w:rPr>
                <w:sz w:val="20"/>
                <w:szCs w:val="20"/>
                <w:color w:val="auto"/>
              </w:rPr>
            </w:pPr>
            <w:r>
              <w:rPr>
                <w:rFonts w:ascii="Arial" w:cs="Arial" w:eastAsia="Arial" w:hAnsi="Arial"/>
                <w:sz w:val="12"/>
                <w:szCs w:val="12"/>
                <w:b w:val="1"/>
                <w:bCs w:val="1"/>
                <w:color w:val="auto"/>
              </w:rPr>
              <w:t>2012</w:t>
            </w:r>
          </w:p>
        </w:tc>
        <w:tc>
          <w:tcPr>
            <w:tcW w:w="340" w:type="dxa"/>
            <w:vAlign w:val="bottom"/>
          </w:tcPr>
          <w:p>
            <w:pPr>
              <w:jc w:val="right"/>
              <w:spacing w:after="0"/>
              <w:rPr>
                <w:sz w:val="20"/>
                <w:szCs w:val="20"/>
                <w:color w:val="auto"/>
              </w:rPr>
            </w:pPr>
            <w:r>
              <w:rPr>
                <w:rFonts w:ascii="Arial" w:cs="Arial" w:eastAsia="Arial" w:hAnsi="Arial"/>
                <w:sz w:val="12"/>
                <w:szCs w:val="12"/>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9532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78" w:right="1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Gain on sales of cost method investments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Gain on sales of marketable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Impairment write-down on a cost method investment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(losses) gains, net</w:t>
      </w:r>
    </w:p>
    <w:p>
      <w:pPr>
        <w:spacing w:after="0" w:line="1" w:lineRule="exact"/>
        <w:rPr>
          <w:sz w:val="20"/>
          <w:szCs w:val="20"/>
          <w:color w:val="auto"/>
        </w:rPr>
      </w:pPr>
    </w:p>
    <w:p>
      <w:pPr>
        <w:ind w:right="1400"/>
        <w:spacing w:after="0" w:line="246" w:lineRule="auto"/>
        <w:rPr>
          <w:sz w:val="20"/>
          <w:szCs w:val="20"/>
          <w:color w:val="auto"/>
        </w:rPr>
      </w:pPr>
      <w:r>
        <w:rPr>
          <w:rFonts w:ascii="Arial" w:cs="Arial" w:eastAsia="Arial" w:hAnsi="Arial"/>
          <w:sz w:val="15"/>
          <w:szCs w:val="15"/>
          <w:color w:val="auto"/>
        </w:rPr>
        <w:t>Impairment write-down on a marketable equity security Other, net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Total Other Non-Operating (Expense)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480" w:type="dxa"/>
            <w:vAlign w:val="bottom"/>
          </w:tcPr>
          <w:p>
            <w:pPr>
              <w:jc w:val="right"/>
              <w:ind w:right="326"/>
              <w:spacing w:after="0" w:line="159" w:lineRule="exact"/>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1,441</w:t>
            </w:r>
          </w:p>
        </w:tc>
        <w:tc>
          <w:tcPr>
            <w:tcW w:w="620" w:type="dxa"/>
            <w:vAlign w:val="bottom"/>
          </w:tcPr>
          <w:p>
            <w:pPr>
              <w:jc w:val="right"/>
              <w:ind w:right="246"/>
              <w:spacing w:after="0" w:line="159"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6"/>
              <w:spacing w:after="0" w:line="159" w:lineRule="exact"/>
              <w:rPr>
                <w:sz w:val="20"/>
                <w:szCs w:val="20"/>
                <w:color w:val="auto"/>
              </w:rPr>
            </w:pPr>
            <w:r>
              <w:rPr>
                <w:rFonts w:ascii="Arial" w:cs="Arial" w:eastAsia="Arial" w:hAnsi="Arial"/>
                <w:sz w:val="15"/>
                <w:szCs w:val="15"/>
                <w:color w:val="auto"/>
              </w:rPr>
              <w:t>199</w:t>
            </w:r>
          </w:p>
        </w:tc>
        <w:tc>
          <w:tcPr>
            <w:tcW w:w="660" w:type="dxa"/>
            <w:vAlign w:val="bottom"/>
          </w:tcPr>
          <w:p>
            <w:pPr>
              <w:jc w:val="right"/>
              <w:ind w:right="286"/>
              <w:spacing w:after="0" w:line="159"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6"/>
              <w:spacing w:after="0" w:line="159" w:lineRule="exact"/>
              <w:rPr>
                <w:sz w:val="20"/>
                <w:szCs w:val="20"/>
                <w:color w:val="auto"/>
              </w:rPr>
            </w:pPr>
            <w:r>
              <w:rPr>
                <w:rFonts w:ascii="Arial" w:cs="Arial" w:eastAsia="Arial" w:hAnsi="Arial"/>
                <w:sz w:val="15"/>
                <w:szCs w:val="15"/>
                <w:b w:val="1"/>
                <w:bCs w:val="1"/>
                <w:color w:val="auto"/>
              </w:rPr>
              <w:t>7,258</w:t>
            </w:r>
          </w:p>
        </w:tc>
        <w:tc>
          <w:tcPr>
            <w:tcW w:w="200" w:type="dxa"/>
            <w:vAlign w:val="bottom"/>
          </w:tcPr>
          <w:p>
            <w:pPr>
              <w:spacing w:after="0"/>
              <w:rPr>
                <w:sz w:val="13"/>
                <w:szCs w:val="13"/>
                <w:color w:val="auto"/>
              </w:rPr>
            </w:pPr>
          </w:p>
        </w:tc>
        <w:tc>
          <w:tcPr>
            <w:tcW w:w="640" w:type="dxa"/>
            <w:vAlign w:val="bottom"/>
          </w:tcPr>
          <w:p>
            <w:pPr>
              <w:jc w:val="right"/>
              <w:ind w:right="466"/>
              <w:spacing w:after="0" w:line="159" w:lineRule="exact"/>
              <w:rPr>
                <w:sz w:val="20"/>
                <w:szCs w:val="20"/>
                <w:color w:val="auto"/>
              </w:rPr>
            </w:pPr>
            <w:r>
              <w:rPr>
                <w:rFonts w:ascii="Arial" w:cs="Arial" w:eastAsia="Arial" w:hAnsi="Arial"/>
                <w:sz w:val="15"/>
                <w:szCs w:val="15"/>
                <w:color w:val="auto"/>
                <w:w w:val="95"/>
              </w:rPr>
              <w:t>$</w:t>
            </w:r>
          </w:p>
        </w:tc>
      </w:tr>
      <w:tr>
        <w:trPr>
          <w:trHeight w:val="174"/>
        </w:trPr>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505</w:t>
            </w:r>
          </w:p>
        </w:tc>
        <w:tc>
          <w:tcPr>
            <w:tcW w:w="620" w:type="dxa"/>
            <w:vAlign w:val="bottom"/>
          </w:tcPr>
          <w:p>
            <w:pPr>
              <w:spacing w:after="0"/>
              <w:rPr>
                <w:sz w:val="15"/>
                <w:szCs w:val="15"/>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505</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620" w:type="dxa"/>
            <w:vAlign w:val="bottom"/>
          </w:tcPr>
          <w:p>
            <w:pPr>
              <w:spacing w:after="0"/>
              <w:rPr>
                <w:sz w:val="15"/>
                <w:szCs w:val="15"/>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(3,148)</w:t>
            </w:r>
          </w:p>
        </w:tc>
        <w:tc>
          <w:tcPr>
            <w:tcW w:w="66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(386)</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(2,592)</w:t>
            </w:r>
          </w:p>
        </w:tc>
        <w:tc>
          <w:tcPr>
            <w:tcW w:w="620" w:type="dxa"/>
            <w:vAlign w:val="bottom"/>
          </w:tcPr>
          <w:p>
            <w:pPr>
              <w:spacing w:after="0"/>
              <w:rPr>
                <w:sz w:val="15"/>
                <w:szCs w:val="15"/>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331</w:t>
            </w:r>
          </w:p>
        </w:tc>
        <w:tc>
          <w:tcPr>
            <w:tcW w:w="66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68</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5"/>
                <w:szCs w:val="15"/>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(179)</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27</w:t>
            </w: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(17)</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66"/>
        </w:trPr>
        <w:tc>
          <w:tcPr>
            <w:tcW w:w="480" w:type="dxa"/>
            <w:vAlign w:val="bottom"/>
            <w:tcBorders>
              <w:bottom w:val="single" w:sz="8" w:color="auto"/>
            </w:tcBorders>
          </w:tcPr>
          <w:p>
            <w:pPr>
              <w:jc w:val="right"/>
              <w:ind w:right="326"/>
              <w:spacing w:after="0" w:line="167" w:lineRule="exact"/>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(1,160)</w:t>
            </w:r>
          </w:p>
        </w:tc>
        <w:tc>
          <w:tcPr>
            <w:tcW w:w="620" w:type="dxa"/>
            <w:vAlign w:val="bottom"/>
            <w:tcBorders>
              <w:bottom w:val="single" w:sz="8" w:color="auto"/>
            </w:tcBorders>
          </w:tcPr>
          <w:p>
            <w:pPr>
              <w:jc w:val="right"/>
              <w:ind w:right="38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(2,591)</w:t>
            </w:r>
          </w:p>
        </w:tc>
        <w:tc>
          <w:tcPr>
            <w:tcW w:w="660" w:type="dxa"/>
            <w:vAlign w:val="bottom"/>
            <w:tcBorders>
              <w:bottom w:val="single" w:sz="8" w:color="auto"/>
            </w:tcBorders>
          </w:tcPr>
          <w:p>
            <w:pPr>
              <w:jc w:val="right"/>
              <w:ind w:right="426"/>
              <w:spacing w:after="0" w:line="167"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7,428</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5000" w:space="720"/>
            <w:col w:w="5220"/>
          </w:cols>
          <w:pgMar w:left="820" w:top="578" w:right="1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10. CONTINGENCIES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Litigation and Legal Matters. </w:t>
      </w:r>
      <w:r>
        <w:rPr>
          <w:rFonts w:ascii="Arial" w:cs="Arial" w:eastAsia="Arial" w:hAnsi="Arial"/>
          <w:sz w:val="16"/>
          <w:szCs w:val="16"/>
          <w:color w:val="auto"/>
        </w:rPr>
        <w:t>The Company is involved in various legal proceedings that arise in the ordinary course of its business. Although the ou</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legal claims and proceedings against the Company cannot be predicted with certainty, based on currently available information, management b that there are no existing claims or proceedings that are likely to have a material effect on the Company's business, financial condition, results of oper or cash flows. Also, based on currently available information, management is of the opinion that the exposure to future material losses from existing le proceedings is not reasonably possible, or that future material losses in excess of the amounts accrued are not reasonably possible.</w:t>
      </w:r>
    </w:p>
    <w:p>
      <w:pPr>
        <w:spacing w:after="0" w:line="147"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 xml:space="preserve">DOE Program Reviews. </w:t>
      </w:r>
      <w:r>
        <w:rPr>
          <w:rFonts w:ascii="Arial" w:cs="Arial" w:eastAsia="Arial" w:hAnsi="Arial"/>
          <w:sz w:val="17"/>
          <w:szCs w:val="17"/>
          <w:color w:val="auto"/>
        </w:rPr>
        <w:t>The U.S. Department of Education (DOE) has undertaken program reviews at various Kaplan Higher Education (KHE) camp</w:t>
      </w:r>
      <w:r>
        <w:rPr>
          <w:rFonts w:ascii="Arial" w:cs="Arial" w:eastAsia="Arial" w:hAnsi="Arial"/>
          <w:sz w:val="17"/>
          <w:szCs w:val="17"/>
          <w:b w:val="1"/>
          <w:bCs w:val="1"/>
          <w:color w:val="auto"/>
        </w:rPr>
        <w:t xml:space="preserve"> </w:t>
      </w:r>
      <w:r>
        <w:rPr>
          <w:rFonts w:ascii="Arial" w:cs="Arial" w:eastAsia="Arial" w:hAnsi="Arial"/>
          <w:sz w:val="17"/>
          <w:szCs w:val="17"/>
          <w:color w:val="auto"/>
        </w:rPr>
        <w:t>locations and at Kaplan University. Currently, there are two pending program reviews, including Kaplan University. In May 2012, the DOE issued a preliminary report on its program review at Kaplan University. Several of the preliminary findings require Kaplan University to conduct additional, detail reviews, with Kaplan University’s review and response due in October 2012. In addition to the two pending program reviews, the Company is awaiting DOE’s final report on the program review at KHE’s Broomall, PA, location. The results of these open reviews and their impact on Kaplan’s operations a uncertain.</w:t>
      </w:r>
    </w:p>
    <w:p>
      <w:pPr>
        <w:spacing w:after="0" w:line="155"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In June 2012, the Accrediting Commission of Career Schools and Colleges (ACCSC), a KHE accreditor, issued a notice to three campuses</w:t>
      </w:r>
      <w:r>
        <w:rPr>
          <w:rFonts w:ascii="Arial" w:cs="Arial" w:eastAsia="Arial" w:hAnsi="Arial"/>
          <w:sz w:val="17"/>
          <w:szCs w:val="17"/>
          <w:b w:val="1"/>
          <w:bCs w:val="1"/>
          <w:color w:val="auto"/>
        </w:rPr>
        <w:t xml:space="preserve"> </w:t>
      </w:r>
      <w:r>
        <w:rPr>
          <w:rFonts w:ascii="Arial" w:cs="Arial" w:eastAsia="Arial" w:hAnsi="Arial"/>
          <w:sz w:val="17"/>
          <w:szCs w:val="17"/>
          <w:color w:val="auto"/>
        </w:rPr>
        <w:t>(Baltimore, Dayton and Indianapolis Northwest), to “show cause” as to why their accreditation should not be withdrawn for failure to meet certain stude achievement threshold requirements. These campuses represented approximately 2% of KHE’s year-to-date revenue for 2012. Each of these campus failed to meet student placement thresholds or student graduation rate thresholds or both in some programs or aggregated over all programs. The campuses must respond by September 2012 to show improvement in these rates and/or demonstrate an adequate plan to improve these rates and co into compliance with the ACCSC standards. KHE cannot be certain that its remedial measures will satisfy all of ACCSC's concerns; in the event that ACCSC determines that some or all of these campuses may lose accreditation, a loss of accreditation would mean that the school would no longer be eligible to participate in Title IV programs and may also lose programmatic accreditation necessary for students to obtain licensure and/or employment specific professions.</w:t>
      </w:r>
    </w:p>
    <w:p>
      <w:pPr>
        <w:spacing w:after="0" w:line="18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December 2011, the United Kingdom Border Agency (UKBA) conducted a compliance review at Kaplan UK’ s Borough High Street Center in Londo England. The review focused on Kaplan UK’s compliance with regulations regarding Tier 4 students, who are adult students seeking to study in the Un Kingdom (UK). Kaplan does not expect the compliance review to have a significant impact on Kaplan UK’s operations.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78" w:right="139" w:bottom="1440" w:gutter="0" w:footer="0" w:header="0"/>
          <w:type w:val="continuous"/>
        </w:sectPr>
      </w:pPr>
    </w:p>
    <w:bookmarkStart w:id="13" w:name="page14"/>
    <w:bookmarkEnd w:id="13"/>
    <w:p>
      <w:pPr>
        <w:jc w:val="both"/>
        <w:ind w:left="10"/>
        <w:spacing w:after="0" w:line="235" w:lineRule="auto"/>
        <w:rPr>
          <w:sz w:val="20"/>
          <w:szCs w:val="20"/>
          <w:color w:val="auto"/>
        </w:rPr>
      </w:pPr>
      <w:r>
        <w:rPr>
          <w:rFonts w:ascii="Arial" w:cs="Arial" w:eastAsia="Arial" w:hAnsi="Arial"/>
          <w:sz w:val="17"/>
          <w:szCs w:val="17"/>
          <w:color w:val="auto"/>
        </w:rPr>
        <w:t>Also, all of the significant Kaplan UK schools have now gained Highly Trusted Sponsor status (HTS). Without HTS, schools could not issue a Confirma of Acceptance for Studies (CAS) to potential incoming international students.</w:t>
      </w:r>
    </w:p>
    <w:p>
      <w:pPr>
        <w:spacing w:after="0" w:line="176" w:lineRule="exact"/>
        <w:rPr>
          <w:sz w:val="20"/>
          <w:szCs w:val="20"/>
          <w:color w:val="auto"/>
        </w:rPr>
      </w:pPr>
    </w:p>
    <w:p>
      <w:pPr>
        <w:jc w:val="both"/>
        <w:ind w:left="10"/>
        <w:spacing w:after="0" w:line="231" w:lineRule="auto"/>
        <w:rPr>
          <w:sz w:val="20"/>
          <w:szCs w:val="20"/>
          <w:color w:val="auto"/>
        </w:rPr>
      </w:pPr>
      <w:r>
        <w:rPr>
          <w:rFonts w:ascii="Arial" w:cs="Arial" w:eastAsia="Arial" w:hAnsi="Arial"/>
          <w:sz w:val="17"/>
          <w:szCs w:val="17"/>
          <w:color w:val="auto"/>
        </w:rPr>
        <w:t>Additionally, UKBA issued revised immigration rules that became operational on April 21, 2011. Students from outside the European Economic Area ( and Switzerland who were issued a CAS after July 4, 2011 will be given permission to work part-time during their studies only if they attend an instituti which qualifies as a Higher Education Institution (HEI). Many of the Kaplan UK international students currently work part-time. Kaplan UK is not in rece public funding for the courses upon which international students study and, therefore, does not qualify as an HEI. These new rules have adversely imp the number of international students studying at certain Kaplan UK programs.</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11. FAIR VALUE MEASUREMENTS</w:t>
      </w:r>
    </w:p>
    <w:p>
      <w:pPr>
        <w:spacing w:after="0" w:line="197" w:lineRule="exact"/>
        <w:rPr>
          <w:sz w:val="20"/>
          <w:szCs w:val="20"/>
          <w:color w:val="auto"/>
        </w:rPr>
      </w:pPr>
    </w:p>
    <w:p>
      <w:pPr>
        <w:ind w:left="10"/>
        <w:spacing w:after="0" w:line="230" w:lineRule="auto"/>
        <w:rPr>
          <w:sz w:val="20"/>
          <w:szCs w:val="20"/>
          <w:color w:val="auto"/>
        </w:rPr>
      </w:pPr>
      <w:r>
        <w:rPr>
          <w:rFonts w:ascii="Arial" w:cs="Arial" w:eastAsia="Arial" w:hAnsi="Arial"/>
          <w:sz w:val="17"/>
          <w:szCs w:val="17"/>
          <w:color w:val="auto"/>
        </w:rPr>
        <w:t>Fair value measurements are determined based on the assumptions that a market participant would use in pricing an asset or liability based on a thre tiered hierarchy that draws a distinction between market participant assumptions based on (i) observable inputs, such as quoted prices in active mark (Level 1); (ii) inputs other than quoted prices in active markets that are observable either directly or indirectly (Level 2); and (iii) unobservable inputs th require the Company to use present value and other valuation techniques in the determination of fair value (Level 3). Financial assets and liabilities ar classified in their entirety based on the lowest level of input that is significant to the fair value measure. The Company’s assessment of the significance particular input to the fair value measurements requires judgment and may affect the valuation of the assets and liabilities being measured and their placement within the fair value hierarchy.</w:t>
      </w:r>
    </w:p>
    <w:p>
      <w:pPr>
        <w:spacing w:after="0" w:line="178"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The Company’s financial assets and liabilities measured at fair value on a recurring basis were as follows: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7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Level 2</w:t>
            </w: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5"/>
                <w:szCs w:val="15"/>
                <w:b w:val="1"/>
                <w:bCs w:val="1"/>
                <w:color w:val="auto"/>
              </w:rPr>
              <w:t>At June 30, 2012</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142,025</w:t>
            </w:r>
          </w:p>
        </w:tc>
        <w:tc>
          <w:tcPr>
            <w:tcW w:w="4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08"/>
        </w:trPr>
        <w:tc>
          <w:tcPr>
            <w:tcW w:w="7100" w:type="dxa"/>
            <w:vAlign w:val="bottom"/>
          </w:tcPr>
          <w:p>
            <w:pPr>
              <w:ind w:left="220"/>
              <w:spacing w:after="0" w:line="207" w:lineRule="exact"/>
              <w:rPr>
                <w:sz w:val="20"/>
                <w:szCs w:val="20"/>
                <w:color w:val="auto"/>
              </w:rPr>
            </w:pPr>
            <w:r>
              <w:rPr>
                <w:rFonts w:ascii="Arial" w:cs="Arial" w:eastAsia="Arial" w:hAnsi="Arial"/>
                <w:sz w:val="15"/>
                <w:szCs w:val="15"/>
                <w:color w:val="auto"/>
              </w:rPr>
              <w:t>Money market investments</w:t>
            </w:r>
            <w:r>
              <w:rPr>
                <w:rFonts w:ascii="Arial" w:cs="Arial" w:eastAsia="Arial" w:hAnsi="Arial"/>
                <w:sz w:val="24"/>
                <w:szCs w:val="24"/>
                <w:color w:val="auto"/>
                <w:vertAlign w:val="superscript"/>
              </w:rPr>
              <w:t>(1)</w:t>
            </w: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20"/>
              <w:spacing w:after="0" w:line="211" w:lineRule="exact"/>
              <w:rPr>
                <w:sz w:val="20"/>
                <w:szCs w:val="20"/>
                <w:color w:val="auto"/>
              </w:rPr>
            </w:pPr>
            <w:r>
              <w:rPr>
                <w:rFonts w:ascii="Arial" w:cs="Arial" w:eastAsia="Arial" w:hAnsi="Arial"/>
                <w:sz w:val="15"/>
                <w:szCs w:val="15"/>
                <w:color w:val="auto"/>
              </w:rPr>
              <w:t>Marketable equity securities</w:t>
            </w:r>
            <w:r>
              <w:rPr>
                <w:rFonts w:ascii="Arial" w:cs="Arial" w:eastAsia="Arial" w:hAnsi="Arial"/>
                <w:sz w:val="24"/>
                <w:szCs w:val="24"/>
                <w:color w:val="auto"/>
                <w:vertAlign w:val="superscript"/>
              </w:rPr>
              <w:t>(3)</w:t>
            </w:r>
          </w:p>
        </w:tc>
        <w:tc>
          <w:tcPr>
            <w:tcW w:w="340" w:type="dxa"/>
            <w:vAlign w:val="bottom"/>
          </w:tcPr>
          <w:p>
            <w:pPr>
              <w:spacing w:after="0"/>
              <w:rPr>
                <w:sz w:val="18"/>
                <w:szCs w:val="18"/>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b w:val="1"/>
                <w:bCs w:val="1"/>
                <w:color w:val="auto"/>
              </w:rPr>
              <w:t>385,895</w:t>
            </w:r>
          </w:p>
        </w:tc>
        <w:tc>
          <w:tcPr>
            <w:tcW w:w="340" w:type="dxa"/>
            <w:vAlign w:val="bottom"/>
          </w:tcPr>
          <w:p>
            <w:pPr>
              <w:spacing w:after="0"/>
              <w:rPr>
                <w:sz w:val="18"/>
                <w:szCs w:val="18"/>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215"/>
        </w:trPr>
        <w:tc>
          <w:tcPr>
            <w:tcW w:w="7100" w:type="dxa"/>
            <w:vAlign w:val="bottom"/>
          </w:tcPr>
          <w:p>
            <w:pPr>
              <w:ind w:left="220"/>
              <w:spacing w:after="0" w:line="214" w:lineRule="exact"/>
              <w:rPr>
                <w:sz w:val="20"/>
                <w:szCs w:val="20"/>
                <w:color w:val="auto"/>
              </w:rPr>
            </w:pPr>
            <w:r>
              <w:rPr>
                <w:rFonts w:ascii="Arial" w:cs="Arial" w:eastAsia="Arial" w:hAnsi="Arial"/>
                <w:sz w:val="15"/>
                <w:szCs w:val="15"/>
                <w:color w:val="auto"/>
              </w:rPr>
              <w:t>Other current investments</w:t>
            </w:r>
            <w:r>
              <w:rPr>
                <w:rFonts w:ascii="Arial" w:cs="Arial" w:eastAsia="Arial" w:hAnsi="Arial"/>
                <w:sz w:val="24"/>
                <w:szCs w:val="24"/>
                <w:color w:val="auto"/>
                <w:vertAlign w:val="superscript"/>
              </w:rPr>
              <w:t>(4)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15,851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22,200</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5"/>
                <w:szCs w:val="15"/>
                <w:b w:val="1"/>
                <w:bCs w:val="1"/>
                <w:color w:val="auto"/>
              </w:rPr>
              <w:t>Total Financial Assets</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401,746</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164,225</w:t>
            </w: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7100" w:type="dxa"/>
            <w:vAlign w:val="bottom"/>
            <w:vMerge w:val="continue"/>
          </w:tcPr>
          <w:p>
            <w:pPr>
              <w:spacing w:after="0"/>
              <w:rPr>
                <w:sz w:val="24"/>
                <w:szCs w:val="24"/>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60,511</w:t>
            </w:r>
          </w:p>
        </w:tc>
        <w:tc>
          <w:tcPr>
            <w:tcW w:w="4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100" w:type="dxa"/>
            <w:vAlign w:val="bottom"/>
          </w:tcPr>
          <w:p>
            <w:pPr>
              <w:ind w:left="220"/>
              <w:spacing w:after="0" w:line="207" w:lineRule="exact"/>
              <w:rPr>
                <w:sz w:val="20"/>
                <w:szCs w:val="20"/>
                <w:color w:val="auto"/>
              </w:rPr>
            </w:pPr>
            <w:r>
              <w:rPr>
                <w:rFonts w:ascii="Arial" w:cs="Arial" w:eastAsia="Arial" w:hAnsi="Arial"/>
                <w:sz w:val="15"/>
                <w:szCs w:val="15"/>
                <w:color w:val="auto"/>
              </w:rPr>
              <w:t>Deferred compensation plan liabilities</w:t>
            </w:r>
            <w:r>
              <w:rPr>
                <w:rFonts w:ascii="Arial" w:cs="Arial" w:eastAsia="Arial" w:hAnsi="Arial"/>
                <w:sz w:val="24"/>
                <w:szCs w:val="24"/>
                <w:color w:val="auto"/>
                <w:vertAlign w:val="superscript"/>
              </w:rPr>
              <w:t>(6)</w:t>
            </w: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20"/>
              <w:spacing w:after="0" w:line="211" w:lineRule="exact"/>
              <w:rPr>
                <w:sz w:val="20"/>
                <w:szCs w:val="20"/>
                <w:color w:val="auto"/>
              </w:rPr>
            </w:pPr>
            <w:r>
              <w:rPr>
                <w:rFonts w:ascii="Arial" w:cs="Arial" w:eastAsia="Arial" w:hAnsi="Arial"/>
                <w:sz w:val="15"/>
                <w:szCs w:val="15"/>
                <w:color w:val="auto"/>
              </w:rPr>
              <w:t>7.25% unsecured notes</w:t>
            </w:r>
            <w:r>
              <w:rPr>
                <w:rFonts w:ascii="Arial" w:cs="Arial" w:eastAsia="Arial" w:hAnsi="Arial"/>
                <w:sz w:val="24"/>
                <w:szCs w:val="24"/>
                <w:color w:val="auto"/>
                <w:vertAlign w:val="superscript"/>
              </w:rPr>
              <w:t>(7)</w:t>
            </w:r>
          </w:p>
        </w:tc>
        <w:tc>
          <w:tcPr>
            <w:tcW w:w="340" w:type="dxa"/>
            <w:vAlign w:val="bottom"/>
          </w:tcPr>
          <w:p>
            <w:pPr>
              <w:spacing w:after="0"/>
              <w:rPr>
                <w:sz w:val="18"/>
                <w:szCs w:val="18"/>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8"/>
                <w:szCs w:val="18"/>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464,472</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211"/>
        </w:trPr>
        <w:tc>
          <w:tcPr>
            <w:tcW w:w="7100" w:type="dxa"/>
            <w:vAlign w:val="bottom"/>
          </w:tcPr>
          <w:p>
            <w:pPr>
              <w:ind w:left="220"/>
              <w:spacing w:after="0" w:line="211" w:lineRule="exact"/>
              <w:rPr>
                <w:sz w:val="20"/>
                <w:szCs w:val="20"/>
                <w:color w:val="auto"/>
              </w:rPr>
            </w:pPr>
            <w:r>
              <w:rPr>
                <w:rFonts w:ascii="Arial" w:cs="Arial" w:eastAsia="Arial" w:hAnsi="Arial"/>
                <w:sz w:val="15"/>
                <w:szCs w:val="15"/>
                <w:color w:val="auto"/>
              </w:rPr>
              <w:t>AUD 50M borrowing</w:t>
            </w:r>
            <w:r>
              <w:rPr>
                <w:rFonts w:ascii="Arial" w:cs="Arial" w:eastAsia="Arial" w:hAnsi="Arial"/>
                <w:sz w:val="24"/>
                <w:szCs w:val="24"/>
                <w:color w:val="auto"/>
                <w:vertAlign w:val="superscript"/>
              </w:rPr>
              <w:t>(7)</w:t>
            </w:r>
          </w:p>
        </w:tc>
        <w:tc>
          <w:tcPr>
            <w:tcW w:w="340" w:type="dxa"/>
            <w:vAlign w:val="bottom"/>
          </w:tcPr>
          <w:p>
            <w:pPr>
              <w:spacing w:after="0"/>
              <w:rPr>
                <w:sz w:val="18"/>
                <w:szCs w:val="18"/>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8"/>
                <w:szCs w:val="18"/>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51,168</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220"/>
              <w:spacing w:after="0" w:line="214" w:lineRule="exact"/>
              <w:rPr>
                <w:sz w:val="20"/>
                <w:szCs w:val="20"/>
                <w:color w:val="auto"/>
              </w:rPr>
            </w:pPr>
            <w:r>
              <w:rPr>
                <w:rFonts w:ascii="Arial" w:cs="Arial" w:eastAsia="Arial" w:hAnsi="Arial"/>
                <w:sz w:val="15"/>
                <w:szCs w:val="15"/>
                <w:color w:val="auto"/>
              </w:rPr>
              <w:t>Interest rate swap</w:t>
            </w:r>
            <w:r>
              <w:rPr>
                <w:rFonts w:ascii="Arial" w:cs="Arial" w:eastAsia="Arial" w:hAnsi="Arial"/>
                <w:sz w:val="24"/>
                <w:szCs w:val="24"/>
                <w:color w:val="auto"/>
                <w:vertAlign w:val="superscript"/>
              </w:rPr>
              <w:t>(8)</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1,362</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5"/>
                <w:szCs w:val="15"/>
                <w:b w:val="1"/>
                <w:bCs w:val="1"/>
                <w:color w:val="auto"/>
              </w:rPr>
              <w:t>Total Financial Liabilities</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577,513</w:t>
            </w: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5"/>
                <w:szCs w:val="15"/>
                <w:b w:val="1"/>
                <w:bCs w:val="1"/>
                <w:color w:val="auto"/>
              </w:rPr>
              <w:t>At December 31, 2011</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20"/>
              <w:spacing w:after="0" w:line="211" w:lineRule="exact"/>
              <w:rPr>
                <w:sz w:val="20"/>
                <w:szCs w:val="20"/>
                <w:color w:val="auto"/>
              </w:rPr>
            </w:pPr>
            <w:r>
              <w:rPr>
                <w:rFonts w:ascii="Arial" w:cs="Arial" w:eastAsia="Arial" w:hAnsi="Arial"/>
                <w:sz w:val="15"/>
                <w:szCs w:val="15"/>
                <w:color w:val="auto"/>
              </w:rPr>
              <w:t>Money market investments</w:t>
            </w:r>
            <w:r>
              <w:rPr>
                <w:rFonts w:ascii="Arial" w:cs="Arial" w:eastAsia="Arial" w:hAnsi="Arial"/>
                <w:sz w:val="24"/>
                <w:szCs w:val="24"/>
                <w:color w:val="auto"/>
                <w:vertAlign w:val="superscript"/>
              </w:rPr>
              <w:t>(2)</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180,136</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1"/>
        </w:trPr>
        <w:tc>
          <w:tcPr>
            <w:tcW w:w="7100" w:type="dxa"/>
            <w:vAlign w:val="bottom"/>
          </w:tcPr>
          <w:p>
            <w:pPr>
              <w:ind w:left="220"/>
              <w:spacing w:after="0" w:line="211" w:lineRule="exact"/>
              <w:rPr>
                <w:sz w:val="20"/>
                <w:szCs w:val="20"/>
                <w:color w:val="auto"/>
              </w:rPr>
            </w:pPr>
            <w:r>
              <w:rPr>
                <w:rFonts w:ascii="Arial" w:cs="Arial" w:eastAsia="Arial" w:hAnsi="Arial"/>
                <w:sz w:val="15"/>
                <w:szCs w:val="15"/>
                <w:color w:val="auto"/>
              </w:rPr>
              <w:t>Marketable equity securities</w:t>
            </w:r>
            <w:r>
              <w:rPr>
                <w:rFonts w:ascii="Arial" w:cs="Arial" w:eastAsia="Arial" w:hAnsi="Arial"/>
                <w:sz w:val="24"/>
                <w:szCs w:val="24"/>
                <w:color w:val="auto"/>
                <w:vertAlign w:val="superscript"/>
              </w:rPr>
              <w:t>(3)</w:t>
            </w:r>
          </w:p>
        </w:tc>
        <w:tc>
          <w:tcPr>
            <w:tcW w:w="340" w:type="dxa"/>
            <w:vAlign w:val="bottom"/>
          </w:tcPr>
          <w:p>
            <w:pPr>
              <w:spacing w:after="0"/>
              <w:rPr>
                <w:sz w:val="18"/>
                <w:szCs w:val="18"/>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303,201</w:t>
            </w:r>
          </w:p>
        </w:tc>
        <w:tc>
          <w:tcPr>
            <w:tcW w:w="340" w:type="dxa"/>
            <w:vAlign w:val="bottom"/>
          </w:tcPr>
          <w:p>
            <w:pPr>
              <w:spacing w:after="0"/>
              <w:rPr>
                <w:sz w:val="18"/>
                <w:szCs w:val="18"/>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1"/>
        </w:trPr>
        <w:tc>
          <w:tcPr>
            <w:tcW w:w="7100" w:type="dxa"/>
            <w:vAlign w:val="bottom"/>
          </w:tcPr>
          <w:p>
            <w:pPr>
              <w:ind w:left="220"/>
              <w:spacing w:after="0" w:line="211" w:lineRule="exact"/>
              <w:rPr>
                <w:sz w:val="20"/>
                <w:szCs w:val="20"/>
                <w:color w:val="auto"/>
              </w:rPr>
            </w:pPr>
            <w:r>
              <w:rPr>
                <w:rFonts w:ascii="Arial" w:cs="Arial" w:eastAsia="Arial" w:hAnsi="Arial"/>
                <w:sz w:val="15"/>
                <w:szCs w:val="15"/>
                <w:color w:val="auto"/>
              </w:rPr>
              <w:t>Other current investments</w:t>
            </w:r>
            <w:r>
              <w:rPr>
                <w:rFonts w:ascii="Arial" w:cs="Arial" w:eastAsia="Arial" w:hAnsi="Arial"/>
                <w:sz w:val="24"/>
                <w:szCs w:val="24"/>
                <w:color w:val="auto"/>
                <w:vertAlign w:val="superscript"/>
              </w:rPr>
              <w:t>(4)</w:t>
            </w:r>
          </w:p>
        </w:tc>
        <w:tc>
          <w:tcPr>
            <w:tcW w:w="340" w:type="dxa"/>
            <w:vAlign w:val="bottom"/>
          </w:tcPr>
          <w:p>
            <w:pPr>
              <w:spacing w:after="0"/>
              <w:rPr>
                <w:sz w:val="18"/>
                <w:szCs w:val="18"/>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15,223</w:t>
            </w:r>
          </w:p>
        </w:tc>
        <w:tc>
          <w:tcPr>
            <w:tcW w:w="340" w:type="dxa"/>
            <w:vAlign w:val="bottom"/>
          </w:tcPr>
          <w:p>
            <w:pPr>
              <w:spacing w:after="0"/>
              <w:rPr>
                <w:sz w:val="18"/>
                <w:szCs w:val="18"/>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20,250</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00" w:type="dxa"/>
            <w:vAlign w:val="bottom"/>
          </w:tcPr>
          <w:p>
            <w:pPr>
              <w:ind w:left="220"/>
              <w:spacing w:after="0" w:line="212" w:lineRule="exact"/>
              <w:rPr>
                <w:sz w:val="20"/>
                <w:szCs w:val="20"/>
                <w:color w:val="auto"/>
              </w:rPr>
            </w:pPr>
            <w:r>
              <w:rPr>
                <w:rFonts w:ascii="Arial" w:cs="Arial" w:eastAsia="Arial" w:hAnsi="Arial"/>
                <w:sz w:val="15"/>
                <w:szCs w:val="15"/>
                <w:color w:val="auto"/>
              </w:rPr>
              <w:t>Interest rate swap</w:t>
            </w:r>
            <w:r>
              <w:rPr>
                <w:rFonts w:ascii="Arial" w:cs="Arial" w:eastAsia="Arial" w:hAnsi="Arial"/>
                <w:sz w:val="24"/>
                <w:szCs w:val="24"/>
                <w:color w:val="auto"/>
                <w:vertAlign w:val="superscript"/>
              </w:rPr>
              <w:t>(5)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14</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5"/>
                <w:szCs w:val="15"/>
                <w:b w:val="1"/>
                <w:bCs w:val="1"/>
                <w:color w:val="auto"/>
              </w:rPr>
              <w:t>Total Financial Assets</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318,424</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200,400</w:t>
            </w: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20"/>
              <w:spacing w:after="0" w:line="211" w:lineRule="exact"/>
              <w:rPr>
                <w:sz w:val="20"/>
                <w:szCs w:val="20"/>
                <w:color w:val="auto"/>
              </w:rPr>
            </w:pPr>
            <w:r>
              <w:rPr>
                <w:rFonts w:ascii="Arial" w:cs="Arial" w:eastAsia="Arial" w:hAnsi="Arial"/>
                <w:sz w:val="15"/>
                <w:szCs w:val="15"/>
                <w:color w:val="auto"/>
              </w:rPr>
              <w:t>Deferred compensation plan liabilities</w:t>
            </w:r>
            <w:r>
              <w:rPr>
                <w:rFonts w:ascii="Arial" w:cs="Arial" w:eastAsia="Arial" w:hAnsi="Arial"/>
                <w:sz w:val="24"/>
                <w:szCs w:val="24"/>
                <w:color w:val="auto"/>
                <w:vertAlign w:val="superscript"/>
              </w:rPr>
              <w:t>(6)</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63,403</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20"/>
              <w:spacing w:after="0" w:line="211" w:lineRule="exact"/>
              <w:rPr>
                <w:sz w:val="20"/>
                <w:szCs w:val="20"/>
                <w:color w:val="auto"/>
              </w:rPr>
            </w:pPr>
            <w:r>
              <w:rPr>
                <w:rFonts w:ascii="Arial" w:cs="Arial" w:eastAsia="Arial" w:hAnsi="Arial"/>
                <w:sz w:val="15"/>
                <w:szCs w:val="15"/>
                <w:color w:val="auto"/>
              </w:rPr>
              <w:t>7.25% unsecured notes</w:t>
            </w:r>
            <w:r>
              <w:rPr>
                <w:rFonts w:ascii="Arial" w:cs="Arial" w:eastAsia="Arial" w:hAnsi="Arial"/>
                <w:sz w:val="24"/>
                <w:szCs w:val="24"/>
                <w:color w:val="auto"/>
                <w:vertAlign w:val="superscript"/>
              </w:rPr>
              <w:t>(7)</w:t>
            </w:r>
          </w:p>
        </w:tc>
        <w:tc>
          <w:tcPr>
            <w:tcW w:w="340" w:type="dxa"/>
            <w:vAlign w:val="bottom"/>
          </w:tcPr>
          <w:p>
            <w:pPr>
              <w:spacing w:after="0"/>
              <w:rPr>
                <w:sz w:val="18"/>
                <w:szCs w:val="18"/>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460,500</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2"/>
        </w:trPr>
        <w:tc>
          <w:tcPr>
            <w:tcW w:w="7100" w:type="dxa"/>
            <w:vAlign w:val="bottom"/>
          </w:tcPr>
          <w:p>
            <w:pPr>
              <w:ind w:left="220"/>
              <w:spacing w:after="0" w:line="212" w:lineRule="exact"/>
              <w:rPr>
                <w:sz w:val="20"/>
                <w:szCs w:val="20"/>
                <w:color w:val="auto"/>
              </w:rPr>
            </w:pPr>
            <w:r>
              <w:rPr>
                <w:rFonts w:ascii="Arial" w:cs="Arial" w:eastAsia="Arial" w:hAnsi="Arial"/>
                <w:sz w:val="15"/>
                <w:szCs w:val="15"/>
                <w:color w:val="auto"/>
              </w:rPr>
              <w:t>AUD 50M borrowing</w:t>
            </w:r>
            <w:r>
              <w:rPr>
                <w:rFonts w:ascii="Arial" w:cs="Arial" w:eastAsia="Arial" w:hAnsi="Arial"/>
                <w:sz w:val="24"/>
                <w:szCs w:val="24"/>
                <w:color w:val="auto"/>
                <w:vertAlign w:val="superscript"/>
              </w:rPr>
              <w:t>(7)</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51,012</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60"/>
              <w:spacing w:after="0"/>
              <w:rPr>
                <w:sz w:val="20"/>
                <w:szCs w:val="20"/>
                <w:color w:val="auto"/>
              </w:rPr>
            </w:pPr>
            <w:r>
              <w:rPr>
                <w:rFonts w:ascii="Arial" w:cs="Arial" w:eastAsia="Arial" w:hAnsi="Arial"/>
                <w:sz w:val="15"/>
                <w:szCs w:val="15"/>
                <w:b w:val="1"/>
                <w:bCs w:val="1"/>
                <w:color w:val="auto"/>
              </w:rPr>
              <w:t>Total Financial Liabilities</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574,915</w:t>
            </w: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ind w:left="390" w:hanging="390"/>
        <w:spacing w:after="0"/>
        <w:tabs>
          <w:tab w:leader="none" w:pos="39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Company’s money market investments at June 30, 2012 are included in cash and cash equivalents.</w:t>
      </w:r>
    </w:p>
    <w:p>
      <w:pPr>
        <w:spacing w:after="0" w:line="23" w:lineRule="exact"/>
        <w:rPr>
          <w:rFonts w:ascii="Arial" w:cs="Arial" w:eastAsia="Arial" w:hAnsi="Arial"/>
          <w:sz w:val="12"/>
          <w:szCs w:val="12"/>
          <w:color w:val="auto"/>
        </w:rPr>
      </w:pPr>
    </w:p>
    <w:p>
      <w:pPr>
        <w:ind w:left="390" w:hanging="390"/>
        <w:spacing w:after="0"/>
        <w:tabs>
          <w:tab w:leader="none" w:pos="39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Company’s money market investments at December 31, 2011 are included in cash, cash equivalents and restricted cash.</w:t>
      </w:r>
    </w:p>
    <w:p>
      <w:pPr>
        <w:spacing w:after="0" w:line="10" w:lineRule="exact"/>
        <w:rPr>
          <w:rFonts w:ascii="Arial" w:cs="Arial" w:eastAsia="Arial" w:hAnsi="Arial"/>
          <w:sz w:val="12"/>
          <w:szCs w:val="12"/>
          <w:color w:val="auto"/>
        </w:rPr>
      </w:pPr>
    </w:p>
    <w:p>
      <w:pPr>
        <w:ind w:left="390" w:hanging="390"/>
        <w:spacing w:after="0"/>
        <w:tabs>
          <w:tab w:leader="none" w:pos="39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Company’s investments in marketable equity securities are classified as available-for-sale.</w:t>
      </w:r>
    </w:p>
    <w:p>
      <w:pPr>
        <w:spacing w:after="0" w:line="10" w:lineRule="exact"/>
        <w:rPr>
          <w:rFonts w:ascii="Arial" w:cs="Arial" w:eastAsia="Arial" w:hAnsi="Arial"/>
          <w:sz w:val="12"/>
          <w:szCs w:val="12"/>
          <w:color w:val="auto"/>
        </w:rPr>
      </w:pPr>
    </w:p>
    <w:p>
      <w:pPr>
        <w:ind w:left="390" w:hanging="390"/>
        <w:spacing w:after="0"/>
        <w:tabs>
          <w:tab w:leader="none" w:pos="39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Includes U.S. Government Securities, corporate bonds, mutual funds and time deposits (with original maturities greater than 90 days, but less than one year).</w:t>
      </w:r>
    </w:p>
    <w:p>
      <w:pPr>
        <w:spacing w:after="0" w:line="23" w:lineRule="exact"/>
        <w:rPr>
          <w:rFonts w:ascii="Arial" w:cs="Arial" w:eastAsia="Arial" w:hAnsi="Arial"/>
          <w:sz w:val="12"/>
          <w:szCs w:val="12"/>
          <w:color w:val="auto"/>
        </w:rPr>
      </w:pPr>
    </w:p>
    <w:p>
      <w:pPr>
        <w:ind w:left="410" w:right="40" w:hanging="410"/>
        <w:spacing w:after="0" w:line="248" w:lineRule="auto"/>
        <w:tabs>
          <w:tab w:leader="none" w:pos="398"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Included in Deferred charges and other assets. The fair value utilized a market approach model using the notional amount of the interest rate swap multiplied by the observable inputs of time to and market interest rates.</w:t>
      </w:r>
    </w:p>
    <w:p>
      <w:pPr>
        <w:ind w:left="410" w:right="20" w:hanging="410"/>
        <w:spacing w:after="0" w:line="248" w:lineRule="auto"/>
        <w:tabs>
          <w:tab w:leader="none" w:pos="398"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Includes The Washington Post Company Deferred Compensation Plan and supplemental savings plan benefits under The Washington Post Company Supplemental Executive Retirement Plan, are included in accrued compensation and related benefits.</w:t>
      </w:r>
    </w:p>
    <w:p>
      <w:pPr>
        <w:ind w:left="390" w:hanging="389"/>
        <w:spacing w:after="0"/>
        <w:tabs>
          <w:tab w:leader="none" w:pos="390" w:val="left"/>
        </w:tabs>
        <w:numPr>
          <w:ilvl w:val="0"/>
          <w:numId w:val="5"/>
        </w:numPr>
        <w:rPr>
          <w:rFonts w:ascii="Arial" w:cs="Arial" w:eastAsia="Arial" w:hAnsi="Arial"/>
          <w:sz w:val="12"/>
          <w:szCs w:val="12"/>
          <w:color w:val="auto"/>
        </w:rPr>
      </w:pPr>
      <w:r>
        <w:rPr>
          <w:rFonts w:ascii="Arial" w:cs="Arial" w:eastAsia="Arial" w:hAnsi="Arial"/>
          <w:sz w:val="12"/>
          <w:szCs w:val="12"/>
          <w:color w:val="auto"/>
        </w:rPr>
        <w:t>See Note 6 for carrying amount of these notes and borrowing.</w:t>
      </w:r>
    </w:p>
    <w:p>
      <w:pPr>
        <w:spacing w:after="0" w:line="23" w:lineRule="exact"/>
        <w:rPr>
          <w:rFonts w:ascii="Arial" w:cs="Arial" w:eastAsia="Arial" w:hAnsi="Arial"/>
          <w:sz w:val="12"/>
          <w:szCs w:val="12"/>
          <w:color w:val="auto"/>
        </w:rPr>
      </w:pPr>
    </w:p>
    <w:p>
      <w:pPr>
        <w:ind w:left="410" w:hanging="409"/>
        <w:spacing w:after="0" w:line="247" w:lineRule="auto"/>
        <w:tabs>
          <w:tab w:leader="none" w:pos="398"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Included in Other liabilities. The fair value utilized a market approach model using the notional amount of the interest rate swap multiplied by the observable inputs of time to maturity and market rates.</w:t>
      </w:r>
    </w:p>
    <w:p>
      <w:pPr>
        <w:spacing w:after="0" w:line="31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34" w:right="139" w:bottom="1440" w:gutter="0" w:footer="0" w:header="0"/>
        </w:sectPr>
      </w:pPr>
    </w:p>
    <w:bookmarkStart w:id="14" w:name="page15"/>
    <w:bookmarkEnd w:id="14"/>
    <w:p>
      <w:pPr>
        <w:jc w:val="both"/>
        <w:spacing w:after="0" w:line="233"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units held without consideration of transaction costs. Assets and liabilities that are measured using significant other observable inputs are primarily val by reference to quoted prices of similar assets or liabilities in active markets, adjusted for any terms specific to that asset or liability.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BUSINESS SEGMENTS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has eight reportable segments: Kaplan Higher Education, Kaplan Test Preparation, Kaplan International, Kaplan Ventures, cable televis newspaper publishing, television broadcasting and other businesses.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Kaplan sold EduNeering in April 2012, KLT in February 2012, KCS in October 2011 and KVE in July 2011; therefore, the education divisio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results exclude these businesses. Also, Kaplan’s Colloquy and U.S. Pathways businesses moved from Kaplan Ventures to Kaplan Internatio Segment operating results of the education division have been restated to reflect these changes.</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second quarter of 2012, Kaplan International results benefited from a favorable net $ 1.9 million adjustment. This included a $2.0 million adjustm increase liabilities assumed in a 2011 acquisition and a favorable $3.9 million out of period expense adjustment related to certain items recorded in 20 and 2010. With respect to the $ 3.9 million out of period expense adjustment, the Company has concluded that it was not material to the Company’s fin position or results of operations for 2012, 2011 and 2010 and the related interim periods, based on its consideration of quantitative and qualitative fact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financial information related to each of the Company’s business segments: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7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9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Six Months Ended</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right"/>
              <w:ind w:right="478"/>
              <w:spacing w:after="0" w:line="110" w:lineRule="exact"/>
              <w:rPr>
                <w:sz w:val="20"/>
                <w:szCs w:val="20"/>
                <w:color w:val="auto"/>
              </w:rPr>
            </w:pPr>
            <w:r>
              <w:rPr>
                <w:rFonts w:ascii="Arial" w:cs="Arial" w:eastAsia="Arial" w:hAnsi="Arial"/>
                <w:sz w:val="12"/>
                <w:szCs w:val="12"/>
                <w:b w:val="1"/>
                <w:bCs w:val="1"/>
                <w:color w:val="auto"/>
              </w:rPr>
              <w:t>June 30,</w:t>
            </w:r>
          </w:p>
        </w:tc>
        <w:tc>
          <w:tcPr>
            <w:tcW w:w="540" w:type="dxa"/>
            <w:vAlign w:val="bottom"/>
          </w:tcPr>
          <w:p>
            <w:pPr>
              <w:spacing w:after="0"/>
              <w:rPr>
                <w:sz w:val="9"/>
                <w:szCs w:val="9"/>
                <w:color w:val="auto"/>
              </w:rPr>
            </w:pPr>
          </w:p>
        </w:tc>
        <w:tc>
          <w:tcPr>
            <w:tcW w:w="940" w:type="dxa"/>
            <w:vAlign w:val="bottom"/>
          </w:tcPr>
          <w:p>
            <w:pPr>
              <w:jc w:val="right"/>
              <w:ind w:right="538"/>
              <w:spacing w:after="0" w:line="110" w:lineRule="exact"/>
              <w:rPr>
                <w:sz w:val="20"/>
                <w:szCs w:val="20"/>
                <w:color w:val="auto"/>
              </w:rPr>
            </w:pPr>
            <w:r>
              <w:rPr>
                <w:rFonts w:ascii="Arial" w:cs="Arial" w:eastAsia="Arial" w:hAnsi="Arial"/>
                <w:sz w:val="12"/>
                <w:szCs w:val="12"/>
                <w:color w:val="auto"/>
                <w:w w:val="92"/>
              </w:rPr>
              <w:t>July 3,</w:t>
            </w:r>
          </w:p>
        </w:tc>
        <w:tc>
          <w:tcPr>
            <w:tcW w:w="320" w:type="dxa"/>
            <w:vAlign w:val="bottom"/>
          </w:tcPr>
          <w:p>
            <w:pPr>
              <w:spacing w:after="0"/>
              <w:rPr>
                <w:sz w:val="9"/>
                <w:szCs w:val="9"/>
                <w:color w:val="auto"/>
              </w:rPr>
            </w:pPr>
          </w:p>
        </w:tc>
        <w:tc>
          <w:tcPr>
            <w:tcW w:w="1160" w:type="dxa"/>
            <w:vAlign w:val="bottom"/>
          </w:tcPr>
          <w:p>
            <w:pPr>
              <w:jc w:val="right"/>
              <w:ind w:right="478"/>
              <w:spacing w:after="0" w:line="110" w:lineRule="exact"/>
              <w:rPr>
                <w:sz w:val="20"/>
                <w:szCs w:val="20"/>
                <w:color w:val="auto"/>
              </w:rPr>
            </w:pPr>
            <w:r>
              <w:rPr>
                <w:rFonts w:ascii="Arial" w:cs="Arial" w:eastAsia="Arial" w:hAnsi="Arial"/>
                <w:sz w:val="12"/>
                <w:szCs w:val="12"/>
                <w:b w:val="1"/>
                <w:bCs w:val="1"/>
                <w:color w:val="auto"/>
              </w:rPr>
              <w:t>June 30,</w:t>
            </w:r>
          </w:p>
        </w:tc>
        <w:tc>
          <w:tcPr>
            <w:tcW w:w="440" w:type="dxa"/>
            <w:vAlign w:val="bottom"/>
          </w:tcPr>
          <w:p>
            <w:pPr>
              <w:spacing w:after="0"/>
              <w:rPr>
                <w:sz w:val="9"/>
                <w:szCs w:val="9"/>
                <w:color w:val="auto"/>
              </w:rPr>
            </w:pPr>
          </w:p>
        </w:tc>
        <w:tc>
          <w:tcPr>
            <w:tcW w:w="340" w:type="dxa"/>
            <w:vAlign w:val="bottom"/>
          </w:tcPr>
          <w:p>
            <w:pPr>
              <w:jc w:val="right"/>
              <w:spacing w:after="0" w:line="110" w:lineRule="exact"/>
              <w:rPr>
                <w:sz w:val="20"/>
                <w:szCs w:val="20"/>
                <w:color w:val="auto"/>
              </w:rPr>
            </w:pPr>
            <w:r>
              <w:rPr>
                <w:rFonts w:ascii="Arial" w:cs="Arial" w:eastAsia="Arial" w:hAnsi="Arial"/>
                <w:sz w:val="12"/>
                <w:szCs w:val="12"/>
                <w:color w:val="auto"/>
              </w:rPr>
              <w:t>July 3</w:t>
            </w:r>
          </w:p>
        </w:tc>
        <w:tc>
          <w:tcPr>
            <w:tcW w:w="0" w:type="dxa"/>
            <w:vAlign w:val="bottom"/>
          </w:tcPr>
          <w:p>
            <w:pPr>
              <w:spacing w:after="0"/>
              <w:rPr>
                <w:sz w:val="1"/>
                <w:szCs w:val="1"/>
                <w:color w:val="auto"/>
              </w:rPr>
            </w:pPr>
          </w:p>
        </w:tc>
      </w:tr>
      <w:tr>
        <w:trPr>
          <w:trHeight w:val="144"/>
        </w:trPr>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8"/>
              <w:spacing w:after="0"/>
              <w:rPr>
                <w:sz w:val="20"/>
                <w:szCs w:val="20"/>
                <w:color w:val="auto"/>
              </w:rPr>
            </w:pPr>
            <w:r>
              <w:rPr>
                <w:rFonts w:ascii="Arial" w:cs="Arial" w:eastAsia="Arial" w:hAnsi="Arial"/>
                <w:sz w:val="12"/>
                <w:szCs w:val="12"/>
                <w:b w:val="1"/>
                <w:bCs w:val="1"/>
                <w:color w:val="auto"/>
              </w:rPr>
              <w:t>2012</w:t>
            </w: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98"/>
              <w:spacing w:after="0"/>
              <w:rPr>
                <w:sz w:val="20"/>
                <w:szCs w:val="20"/>
                <w:color w:val="auto"/>
              </w:rPr>
            </w:pPr>
            <w:r>
              <w:rPr>
                <w:rFonts w:ascii="Arial" w:cs="Arial" w:eastAsia="Arial" w:hAnsi="Arial"/>
                <w:sz w:val="12"/>
                <w:szCs w:val="12"/>
                <w:color w:val="auto"/>
                <w:w w:val="97"/>
              </w:rPr>
              <w:t>2011</w:t>
            </w: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8"/>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28"/>
        </w:trPr>
        <w:tc>
          <w:tcPr>
            <w:tcW w:w="5720" w:type="dxa"/>
            <w:vAlign w:val="bottom"/>
          </w:tcPr>
          <w:p>
            <w:pPr>
              <w:spacing w:after="0" w:line="129" w:lineRule="exact"/>
              <w:rPr>
                <w:sz w:val="20"/>
                <w:szCs w:val="20"/>
                <w:color w:val="auto"/>
              </w:rPr>
            </w:pPr>
            <w:r>
              <w:rPr>
                <w:rFonts w:ascii="Arial" w:cs="Arial" w:eastAsia="Arial" w:hAnsi="Arial"/>
                <w:sz w:val="12"/>
                <w:szCs w:val="12"/>
                <w:b w:val="1"/>
                <w:bCs w:val="1"/>
                <w:color w:val="auto"/>
              </w:rPr>
              <w:t>Operating Revenues</w:t>
            </w: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558,404</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1,111,805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72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540" w:type="dxa"/>
            <w:vAlign w:val="bottom"/>
          </w:tcPr>
          <w:p>
            <w:pPr>
              <w:jc w:val="right"/>
              <w:ind w:right="298"/>
              <w:spacing w:after="0" w:line="12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line="123" w:lineRule="exact"/>
              <w:rPr>
                <w:sz w:val="20"/>
                <w:szCs w:val="20"/>
                <w:color w:val="auto"/>
              </w:rPr>
            </w:pPr>
            <w:r>
              <w:rPr>
                <w:rFonts w:ascii="Arial" w:cs="Arial" w:eastAsia="Arial" w:hAnsi="Arial"/>
                <w:sz w:val="12"/>
                <w:szCs w:val="12"/>
                <w:color w:val="auto"/>
              </w:rPr>
              <w:t>616,962</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440" w:type="dxa"/>
            <w:vAlign w:val="bottom"/>
          </w:tcPr>
          <w:p>
            <w:pPr>
              <w:jc w:val="right"/>
              <w:ind w:right="218"/>
              <w:spacing w:after="0" w:line="123" w:lineRule="exact"/>
              <w:rPr>
                <w:sz w:val="20"/>
                <w:szCs w:val="20"/>
                <w:color w:val="auto"/>
              </w:rPr>
            </w:pPr>
            <w:r>
              <w:rPr>
                <w:rFonts w:ascii="Arial" w:cs="Arial" w:eastAsia="Arial" w:hAnsi="Arial"/>
                <w:sz w:val="12"/>
                <w:szCs w:val="12"/>
                <w:color w:val="auto"/>
              </w:rPr>
              <w:t>$</w:t>
            </w:r>
          </w:p>
        </w:tc>
        <w:tc>
          <w:tcPr>
            <w:tcW w:w="340" w:type="dxa"/>
            <w:vAlign w:val="bottom"/>
          </w:tcPr>
          <w:p>
            <w:pPr>
              <w:jc w:val="right"/>
              <w:spacing w:after="0" w:line="123"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195,579</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191,231</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385,789</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151,814</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162,772</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294,135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95,591</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84,940</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177,088</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6,680</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6,095</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12,695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Corporate office</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720" w:type="dxa"/>
            <w:vAlign w:val="bottom"/>
          </w:tcPr>
          <w:p>
            <w:pPr>
              <w:ind w:left="220"/>
              <w:spacing w:after="0"/>
              <w:rPr>
                <w:sz w:val="20"/>
                <w:szCs w:val="20"/>
                <w:color w:val="auto"/>
              </w:rPr>
            </w:pPr>
            <w:r>
              <w:rPr>
                <w:rFonts w:ascii="Arial" w:cs="Arial" w:eastAsia="Arial" w:hAnsi="Arial"/>
                <w:sz w:val="12"/>
                <w:szCs w:val="12"/>
                <w:color w:val="auto"/>
              </w:rPr>
              <w:t>Intersegment elimination</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(1,149)</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(742)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(2,117)</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20" w:type="dxa"/>
            <w:vAlign w:val="bottom"/>
            <w:vMerge w:val="restart"/>
          </w:tcPr>
          <w:p>
            <w:pPr>
              <w:spacing w:after="0"/>
              <w:rPr>
                <w:sz w:val="20"/>
                <w:szCs w:val="20"/>
                <w:color w:val="auto"/>
              </w:rPr>
            </w:pPr>
            <w:r>
              <w:rPr>
                <w:rFonts w:ascii="Arial" w:cs="Arial" w:eastAsia="Arial" w:hAnsi="Arial"/>
                <w:sz w:val="12"/>
                <w:szCs w:val="12"/>
                <w:b w:val="1"/>
                <w:bCs w:val="1"/>
                <w:color w:val="auto"/>
              </w:rPr>
              <w:t>Income (Loss) from Operations</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1,006,919</w:t>
            </w:r>
          </w:p>
        </w:tc>
        <w:tc>
          <w:tcPr>
            <w:tcW w:w="540" w:type="dxa"/>
            <w:vAlign w:val="bottom"/>
            <w:tcBorders>
              <w:bottom w:val="single" w:sz="8" w:color="auto"/>
            </w:tcBorders>
          </w:tcPr>
          <w:p>
            <w:pPr>
              <w:jc w:val="right"/>
              <w:ind w:right="298"/>
              <w:spacing w:after="0" w:line="129"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1,061,258</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1,979,395</w:t>
            </w:r>
          </w:p>
        </w:tc>
        <w:tc>
          <w:tcPr>
            <w:tcW w:w="440" w:type="dxa"/>
            <w:vAlign w:val="bottom"/>
            <w:tcBorders>
              <w:bottom w:val="single" w:sz="8" w:color="auto"/>
            </w:tcBorders>
          </w:tcPr>
          <w:p>
            <w:pPr>
              <w:jc w:val="right"/>
              <w:ind w:right="218"/>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28"/>
        </w:trPr>
        <w:tc>
          <w:tcPr>
            <w:tcW w:w="5720" w:type="dxa"/>
            <w:vAlign w:val="bottom"/>
            <w:vMerge w:val="continue"/>
          </w:tcPr>
          <w:p>
            <w:pPr>
              <w:spacing w:after="0"/>
              <w:rPr>
                <w:sz w:val="11"/>
                <w:szCs w:val="11"/>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3,351</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(9,837)</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72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540" w:type="dxa"/>
            <w:vAlign w:val="bottom"/>
          </w:tcPr>
          <w:p>
            <w:pPr>
              <w:jc w:val="right"/>
              <w:ind w:right="298"/>
              <w:spacing w:after="0" w:line="12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line="123" w:lineRule="exact"/>
              <w:rPr>
                <w:sz w:val="20"/>
                <w:szCs w:val="20"/>
                <w:color w:val="auto"/>
              </w:rPr>
            </w:pPr>
            <w:r>
              <w:rPr>
                <w:rFonts w:ascii="Arial" w:cs="Arial" w:eastAsia="Arial" w:hAnsi="Arial"/>
                <w:sz w:val="12"/>
                <w:szCs w:val="12"/>
                <w:color w:val="auto"/>
              </w:rPr>
              <w:t>21,468</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440" w:type="dxa"/>
            <w:vAlign w:val="bottom"/>
          </w:tcPr>
          <w:p>
            <w:pPr>
              <w:jc w:val="right"/>
              <w:ind w:right="218"/>
              <w:spacing w:after="0" w:line="123"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38,446</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40,425</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71,223</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320" w:type="dxa"/>
            <w:vAlign w:val="bottom"/>
          </w:tcPr>
          <w:p>
            <w:pPr>
              <w:spacing w:after="0"/>
              <w:rPr>
                <w:sz w:val="11"/>
                <w:szCs w:val="11"/>
                <w:color w:val="auto"/>
              </w:rPr>
            </w:pPr>
          </w:p>
        </w:tc>
        <w:tc>
          <w:tcPr>
            <w:tcW w:w="1160" w:type="dxa"/>
            <w:vAlign w:val="bottom"/>
          </w:tcPr>
          <w:p>
            <w:pPr>
              <w:jc w:val="right"/>
              <w:ind w:right="18"/>
              <w:spacing w:after="0" w:line="137" w:lineRule="exact"/>
              <w:rPr>
                <w:sz w:val="20"/>
                <w:szCs w:val="20"/>
                <w:color w:val="auto"/>
              </w:rPr>
            </w:pPr>
            <w:r>
              <w:rPr>
                <w:rFonts w:ascii="Arial" w:cs="Arial" w:eastAsia="Arial" w:hAnsi="Arial"/>
                <w:sz w:val="12"/>
                <w:szCs w:val="12"/>
                <w:b w:val="1"/>
                <w:bCs w:val="1"/>
                <w:color w:val="auto"/>
              </w:rPr>
              <w:t>(15,876)</w:t>
            </w:r>
          </w:p>
        </w:tc>
        <w:tc>
          <w:tcPr>
            <w:tcW w:w="540" w:type="dxa"/>
            <w:vAlign w:val="bottom"/>
          </w:tcPr>
          <w:p>
            <w:pPr>
              <w:spacing w:after="0"/>
              <w:rPr>
                <w:sz w:val="11"/>
                <w:szCs w:val="11"/>
                <w:color w:val="auto"/>
              </w:rPr>
            </w:pPr>
          </w:p>
        </w:tc>
        <w:tc>
          <w:tcPr>
            <w:tcW w:w="940" w:type="dxa"/>
            <w:vAlign w:val="bottom"/>
          </w:tcPr>
          <w:p>
            <w:pPr>
              <w:jc w:val="right"/>
              <w:ind w:right="18"/>
              <w:spacing w:after="0" w:line="137" w:lineRule="exact"/>
              <w:rPr>
                <w:sz w:val="20"/>
                <w:szCs w:val="20"/>
                <w:color w:val="auto"/>
              </w:rPr>
            </w:pPr>
            <w:r>
              <w:rPr>
                <w:rFonts w:ascii="Arial" w:cs="Arial" w:eastAsia="Arial" w:hAnsi="Arial"/>
                <w:sz w:val="12"/>
                <w:szCs w:val="12"/>
                <w:color w:val="auto"/>
              </w:rPr>
              <w:t>(2,918)</w:t>
            </w:r>
          </w:p>
        </w:tc>
        <w:tc>
          <w:tcPr>
            <w:tcW w:w="320" w:type="dxa"/>
            <w:vAlign w:val="bottom"/>
          </w:tcPr>
          <w:p>
            <w:pPr>
              <w:spacing w:after="0"/>
              <w:rPr>
                <w:sz w:val="11"/>
                <w:szCs w:val="11"/>
                <w:color w:val="auto"/>
              </w:rPr>
            </w:pPr>
          </w:p>
        </w:tc>
        <w:tc>
          <w:tcPr>
            <w:tcW w:w="1160" w:type="dxa"/>
            <w:vAlign w:val="bottom"/>
          </w:tcPr>
          <w:p>
            <w:pPr>
              <w:jc w:val="right"/>
              <w:ind w:right="38"/>
              <w:spacing w:after="0" w:line="137" w:lineRule="exact"/>
              <w:rPr>
                <w:sz w:val="20"/>
                <w:szCs w:val="20"/>
                <w:color w:val="auto"/>
              </w:rPr>
            </w:pPr>
            <w:r>
              <w:rPr>
                <w:rFonts w:ascii="Arial" w:cs="Arial" w:eastAsia="Arial" w:hAnsi="Arial"/>
                <w:sz w:val="12"/>
                <w:szCs w:val="12"/>
                <w:b w:val="1"/>
                <w:bCs w:val="1"/>
                <w:color w:val="auto"/>
              </w:rPr>
              <w:t>(38,436)</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43,728</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32,571</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74,727</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320" w:type="dxa"/>
            <w:vAlign w:val="bottom"/>
          </w:tcPr>
          <w:p>
            <w:pPr>
              <w:spacing w:after="0"/>
              <w:rPr>
                <w:sz w:val="11"/>
                <w:szCs w:val="11"/>
                <w:color w:val="auto"/>
              </w:rPr>
            </w:pPr>
          </w:p>
        </w:tc>
        <w:tc>
          <w:tcPr>
            <w:tcW w:w="1160" w:type="dxa"/>
            <w:vAlign w:val="bottom"/>
          </w:tcPr>
          <w:p>
            <w:pPr>
              <w:jc w:val="right"/>
              <w:ind w:right="18"/>
              <w:spacing w:after="0" w:line="137" w:lineRule="exact"/>
              <w:rPr>
                <w:sz w:val="20"/>
                <w:szCs w:val="20"/>
                <w:color w:val="auto"/>
              </w:rPr>
            </w:pPr>
            <w:r>
              <w:rPr>
                <w:rFonts w:ascii="Arial" w:cs="Arial" w:eastAsia="Arial" w:hAnsi="Arial"/>
                <w:sz w:val="12"/>
                <w:szCs w:val="12"/>
                <w:b w:val="1"/>
                <w:bCs w:val="1"/>
                <w:color w:val="auto"/>
              </w:rPr>
              <w:t>(5,804)</w:t>
            </w:r>
          </w:p>
        </w:tc>
        <w:tc>
          <w:tcPr>
            <w:tcW w:w="540" w:type="dxa"/>
            <w:vAlign w:val="bottom"/>
          </w:tcPr>
          <w:p>
            <w:pPr>
              <w:spacing w:after="0"/>
              <w:rPr>
                <w:sz w:val="11"/>
                <w:szCs w:val="11"/>
                <w:color w:val="auto"/>
              </w:rPr>
            </w:pPr>
          </w:p>
        </w:tc>
        <w:tc>
          <w:tcPr>
            <w:tcW w:w="940" w:type="dxa"/>
            <w:vAlign w:val="bottom"/>
          </w:tcPr>
          <w:p>
            <w:pPr>
              <w:jc w:val="right"/>
              <w:ind w:right="18"/>
              <w:spacing w:after="0" w:line="137" w:lineRule="exact"/>
              <w:rPr>
                <w:sz w:val="20"/>
                <w:szCs w:val="20"/>
                <w:color w:val="auto"/>
              </w:rPr>
            </w:pPr>
            <w:r>
              <w:rPr>
                <w:rFonts w:ascii="Arial" w:cs="Arial" w:eastAsia="Arial" w:hAnsi="Arial"/>
                <w:sz w:val="12"/>
                <w:szCs w:val="12"/>
                <w:color w:val="auto"/>
              </w:rPr>
              <w:t>(5,014)</w:t>
            </w:r>
          </w:p>
        </w:tc>
        <w:tc>
          <w:tcPr>
            <w:tcW w:w="320" w:type="dxa"/>
            <w:vAlign w:val="bottom"/>
          </w:tcPr>
          <w:p>
            <w:pPr>
              <w:spacing w:after="0"/>
              <w:rPr>
                <w:sz w:val="11"/>
                <w:szCs w:val="11"/>
                <w:color w:val="auto"/>
              </w:rPr>
            </w:pPr>
          </w:p>
        </w:tc>
        <w:tc>
          <w:tcPr>
            <w:tcW w:w="1160" w:type="dxa"/>
            <w:vAlign w:val="bottom"/>
          </w:tcPr>
          <w:p>
            <w:pPr>
              <w:jc w:val="right"/>
              <w:ind w:right="38"/>
              <w:spacing w:after="0" w:line="137" w:lineRule="exact"/>
              <w:rPr>
                <w:sz w:val="20"/>
                <w:szCs w:val="20"/>
                <w:color w:val="auto"/>
              </w:rPr>
            </w:pPr>
            <w:r>
              <w:rPr>
                <w:rFonts w:ascii="Arial" w:cs="Arial" w:eastAsia="Arial" w:hAnsi="Arial"/>
                <w:sz w:val="12"/>
                <w:szCs w:val="12"/>
                <w:b w:val="1"/>
                <w:bCs w:val="1"/>
                <w:color w:val="auto"/>
              </w:rPr>
              <w:t>(11,055)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72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(3,492)</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(4,433)</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(8,800)</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20" w:type="dxa"/>
            <w:vAlign w:val="bottom"/>
            <w:vMerge w:val="restart"/>
          </w:tcPr>
          <w:p>
            <w:pPr>
              <w:spacing w:after="0"/>
              <w:rPr>
                <w:sz w:val="20"/>
                <w:szCs w:val="20"/>
                <w:color w:val="auto"/>
              </w:rPr>
            </w:pPr>
            <w:r>
              <w:rPr>
                <w:rFonts w:ascii="Arial" w:cs="Arial" w:eastAsia="Arial" w:hAnsi="Arial"/>
                <w:sz w:val="12"/>
                <w:szCs w:val="12"/>
                <w:b w:val="1"/>
                <w:bCs w:val="1"/>
                <w:color w:val="auto"/>
              </w:rPr>
              <w:t>Equity in Earnings of Affiliates, Net</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60,353</w:t>
            </w:r>
          </w:p>
        </w:tc>
        <w:tc>
          <w:tcPr>
            <w:tcW w:w="540" w:type="dxa"/>
            <w:vAlign w:val="bottom"/>
            <w:tcBorders>
              <w:bottom w:val="single" w:sz="8" w:color="auto"/>
            </w:tcBorders>
          </w:tcPr>
          <w:p>
            <w:pPr>
              <w:jc w:val="right"/>
              <w:ind w:right="298"/>
              <w:spacing w:after="0" w:line="129"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82,099</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77,822</w:t>
            </w:r>
          </w:p>
        </w:tc>
        <w:tc>
          <w:tcPr>
            <w:tcW w:w="440" w:type="dxa"/>
            <w:vAlign w:val="bottom"/>
            <w:tcBorders>
              <w:bottom w:val="single" w:sz="8" w:color="auto"/>
            </w:tcBorders>
          </w:tcPr>
          <w:p>
            <w:pPr>
              <w:jc w:val="right"/>
              <w:ind w:right="218"/>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7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jc w:val="right"/>
              <w:ind w:right="58"/>
              <w:spacing w:after="0" w:line="114" w:lineRule="exact"/>
              <w:rPr>
                <w:sz w:val="20"/>
                <w:szCs w:val="20"/>
                <w:color w:val="auto"/>
              </w:rPr>
            </w:pPr>
            <w:r>
              <w:rPr>
                <w:rFonts w:ascii="Arial" w:cs="Arial" w:eastAsia="Arial" w:hAnsi="Arial"/>
                <w:sz w:val="12"/>
                <w:szCs w:val="12"/>
                <w:b w:val="1"/>
                <w:bCs w:val="1"/>
                <w:color w:val="auto"/>
              </w:rPr>
              <w:t>3,314</w:t>
            </w:r>
          </w:p>
        </w:tc>
        <w:tc>
          <w:tcPr>
            <w:tcW w:w="540" w:type="dxa"/>
            <w:vAlign w:val="bottom"/>
          </w:tcPr>
          <w:p>
            <w:pPr>
              <w:spacing w:after="0"/>
              <w:rPr>
                <w:sz w:val="9"/>
                <w:szCs w:val="9"/>
                <w:color w:val="auto"/>
              </w:rPr>
            </w:pPr>
          </w:p>
        </w:tc>
        <w:tc>
          <w:tcPr>
            <w:tcW w:w="940" w:type="dxa"/>
            <w:vAlign w:val="bottom"/>
          </w:tcPr>
          <w:p>
            <w:pPr>
              <w:jc w:val="right"/>
              <w:ind w:right="58"/>
              <w:spacing w:after="0" w:line="114" w:lineRule="exact"/>
              <w:rPr>
                <w:sz w:val="20"/>
                <w:szCs w:val="20"/>
                <w:color w:val="auto"/>
              </w:rPr>
            </w:pPr>
            <w:r>
              <w:rPr>
                <w:rFonts w:ascii="Arial" w:cs="Arial" w:eastAsia="Arial" w:hAnsi="Arial"/>
                <w:sz w:val="12"/>
                <w:szCs w:val="12"/>
                <w:color w:val="auto"/>
              </w:rPr>
              <w:t>3,138</w:t>
            </w:r>
          </w:p>
        </w:tc>
        <w:tc>
          <w:tcPr>
            <w:tcW w:w="320" w:type="dxa"/>
            <w:vAlign w:val="bottom"/>
          </w:tcPr>
          <w:p>
            <w:pPr>
              <w:spacing w:after="0"/>
              <w:rPr>
                <w:sz w:val="9"/>
                <w:szCs w:val="9"/>
                <w:color w:val="auto"/>
              </w:rPr>
            </w:pPr>
          </w:p>
        </w:tc>
        <w:tc>
          <w:tcPr>
            <w:tcW w:w="1160" w:type="dxa"/>
            <w:vAlign w:val="bottom"/>
          </w:tcPr>
          <w:p>
            <w:pPr>
              <w:jc w:val="right"/>
              <w:ind w:right="58"/>
              <w:spacing w:after="0" w:line="114" w:lineRule="exact"/>
              <w:rPr>
                <w:sz w:val="20"/>
                <w:szCs w:val="20"/>
                <w:color w:val="auto"/>
              </w:rPr>
            </w:pPr>
            <w:r>
              <w:rPr>
                <w:rFonts w:ascii="Arial" w:cs="Arial" w:eastAsia="Arial" w:hAnsi="Arial"/>
                <w:sz w:val="12"/>
                <w:szCs w:val="12"/>
                <w:b w:val="1"/>
                <w:bCs w:val="1"/>
                <w:color w:val="auto"/>
              </w:rPr>
              <w:t>7,202</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5720" w:type="dxa"/>
            <w:vAlign w:val="bottom"/>
          </w:tcPr>
          <w:p>
            <w:pPr>
              <w:spacing w:after="0" w:line="137" w:lineRule="exact"/>
              <w:rPr>
                <w:sz w:val="20"/>
                <w:szCs w:val="20"/>
                <w:color w:val="auto"/>
              </w:rPr>
            </w:pPr>
            <w:r>
              <w:rPr>
                <w:rFonts w:ascii="Arial" w:cs="Arial" w:eastAsia="Arial" w:hAnsi="Arial"/>
                <w:sz w:val="12"/>
                <w:szCs w:val="12"/>
                <w:b w:val="1"/>
                <w:bCs w:val="1"/>
                <w:color w:val="auto"/>
              </w:rPr>
              <w:t>Interest Expense, Net</w:t>
            </w:r>
          </w:p>
        </w:tc>
        <w:tc>
          <w:tcPr>
            <w:tcW w:w="320" w:type="dxa"/>
            <w:vAlign w:val="bottom"/>
          </w:tcPr>
          <w:p>
            <w:pPr>
              <w:spacing w:after="0"/>
              <w:rPr>
                <w:sz w:val="11"/>
                <w:szCs w:val="11"/>
                <w:color w:val="auto"/>
              </w:rPr>
            </w:pPr>
          </w:p>
        </w:tc>
        <w:tc>
          <w:tcPr>
            <w:tcW w:w="1160" w:type="dxa"/>
            <w:vAlign w:val="bottom"/>
          </w:tcPr>
          <w:p>
            <w:pPr>
              <w:jc w:val="right"/>
              <w:ind w:right="18"/>
              <w:spacing w:after="0" w:line="137" w:lineRule="exact"/>
              <w:rPr>
                <w:sz w:val="20"/>
                <w:szCs w:val="20"/>
                <w:color w:val="auto"/>
              </w:rPr>
            </w:pPr>
            <w:r>
              <w:rPr>
                <w:rFonts w:ascii="Arial" w:cs="Arial" w:eastAsia="Arial" w:hAnsi="Arial"/>
                <w:sz w:val="12"/>
                <w:szCs w:val="12"/>
                <w:b w:val="1"/>
                <w:bCs w:val="1"/>
                <w:color w:val="auto"/>
              </w:rPr>
              <w:t>(8,204)</w:t>
            </w:r>
          </w:p>
        </w:tc>
        <w:tc>
          <w:tcPr>
            <w:tcW w:w="540" w:type="dxa"/>
            <w:vAlign w:val="bottom"/>
          </w:tcPr>
          <w:p>
            <w:pPr>
              <w:spacing w:after="0"/>
              <w:rPr>
                <w:sz w:val="11"/>
                <w:szCs w:val="11"/>
                <w:color w:val="auto"/>
              </w:rPr>
            </w:pPr>
          </w:p>
        </w:tc>
        <w:tc>
          <w:tcPr>
            <w:tcW w:w="940" w:type="dxa"/>
            <w:vAlign w:val="bottom"/>
          </w:tcPr>
          <w:p>
            <w:pPr>
              <w:jc w:val="right"/>
              <w:ind w:right="18"/>
              <w:spacing w:after="0" w:line="137" w:lineRule="exact"/>
              <w:rPr>
                <w:sz w:val="20"/>
                <w:szCs w:val="20"/>
                <w:color w:val="auto"/>
              </w:rPr>
            </w:pPr>
            <w:r>
              <w:rPr>
                <w:rFonts w:ascii="Arial" w:cs="Arial" w:eastAsia="Arial" w:hAnsi="Arial"/>
                <w:sz w:val="12"/>
                <w:szCs w:val="12"/>
                <w:color w:val="auto"/>
              </w:rPr>
              <w:t>(6,963)</w:t>
            </w:r>
          </w:p>
        </w:tc>
        <w:tc>
          <w:tcPr>
            <w:tcW w:w="320" w:type="dxa"/>
            <w:vAlign w:val="bottom"/>
          </w:tcPr>
          <w:p>
            <w:pPr>
              <w:spacing w:after="0"/>
              <w:rPr>
                <w:sz w:val="11"/>
                <w:szCs w:val="11"/>
                <w:color w:val="auto"/>
              </w:rPr>
            </w:pPr>
          </w:p>
        </w:tc>
        <w:tc>
          <w:tcPr>
            <w:tcW w:w="1160" w:type="dxa"/>
            <w:vAlign w:val="bottom"/>
          </w:tcPr>
          <w:p>
            <w:pPr>
              <w:jc w:val="right"/>
              <w:ind w:right="38"/>
              <w:spacing w:after="0" w:line="137" w:lineRule="exact"/>
              <w:rPr>
                <w:sz w:val="20"/>
                <w:szCs w:val="20"/>
                <w:color w:val="auto"/>
              </w:rPr>
            </w:pPr>
            <w:r>
              <w:rPr>
                <w:rFonts w:ascii="Arial" w:cs="Arial" w:eastAsia="Arial" w:hAnsi="Arial"/>
                <w:sz w:val="12"/>
                <w:szCs w:val="12"/>
                <w:b w:val="1"/>
                <w:bCs w:val="1"/>
                <w:color w:val="auto"/>
              </w:rPr>
              <w:t>(16,298)</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720" w:type="dxa"/>
            <w:vAlign w:val="bottom"/>
          </w:tcPr>
          <w:p>
            <w:pPr>
              <w:spacing w:after="0"/>
              <w:rPr>
                <w:sz w:val="20"/>
                <w:szCs w:val="20"/>
                <w:color w:val="auto"/>
              </w:rPr>
            </w:pPr>
            <w:r>
              <w:rPr>
                <w:rFonts w:ascii="Arial" w:cs="Arial" w:eastAsia="Arial" w:hAnsi="Arial"/>
                <w:sz w:val="12"/>
                <w:szCs w:val="12"/>
                <w:b w:val="1"/>
                <w:bCs w:val="1"/>
                <w:color w:val="auto"/>
              </w:rPr>
              <w:t>Other (Expense) Income, Net</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(1,160)</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(2,591)</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7,428</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20" w:type="dxa"/>
            <w:vAlign w:val="bottom"/>
          </w:tcPr>
          <w:p>
            <w:pPr>
              <w:spacing w:after="0" w:line="129" w:lineRule="exact"/>
              <w:rPr>
                <w:sz w:val="20"/>
                <w:szCs w:val="20"/>
                <w:color w:val="auto"/>
              </w:rPr>
            </w:pPr>
            <w:r>
              <w:rPr>
                <w:rFonts w:ascii="Arial" w:cs="Arial" w:eastAsia="Arial" w:hAnsi="Arial"/>
                <w:sz w:val="12"/>
                <w:szCs w:val="12"/>
                <w:b w:val="1"/>
                <w:bCs w:val="1"/>
                <w:color w:val="auto"/>
              </w:rPr>
              <w:t>Income from Continuing Operations Before Income Taxes</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54,303</w:t>
            </w:r>
          </w:p>
        </w:tc>
        <w:tc>
          <w:tcPr>
            <w:tcW w:w="540" w:type="dxa"/>
            <w:vAlign w:val="bottom"/>
            <w:tcBorders>
              <w:bottom w:val="single" w:sz="8" w:color="auto"/>
            </w:tcBorders>
          </w:tcPr>
          <w:p>
            <w:pPr>
              <w:jc w:val="right"/>
              <w:ind w:right="298"/>
              <w:spacing w:after="0" w:line="129"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75,683</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76,154</w:t>
            </w:r>
          </w:p>
        </w:tc>
        <w:tc>
          <w:tcPr>
            <w:tcW w:w="440" w:type="dxa"/>
            <w:vAlign w:val="bottom"/>
            <w:tcBorders>
              <w:bottom w:val="single" w:sz="8" w:color="auto"/>
            </w:tcBorders>
          </w:tcPr>
          <w:p>
            <w:pPr>
              <w:jc w:val="right"/>
              <w:ind w:right="218"/>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2"/>
                <w:szCs w:val="12"/>
                <w:b w:val="1"/>
                <w:bCs w:val="1"/>
                <w:color w:val="auto"/>
              </w:rPr>
              <w:t>Depreciation of Property, Plant and Equipment</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20" w:type="dxa"/>
            <w:vAlign w:val="bottom"/>
            <w:vMerge w:val="continue"/>
          </w:tcPr>
          <w:p>
            <w:pPr>
              <w:spacing w:after="0"/>
              <w:rPr>
                <w:sz w:val="9"/>
                <w:szCs w:val="9"/>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21,159</w:t>
            </w: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42,021</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72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540" w:type="dxa"/>
            <w:vAlign w:val="bottom"/>
          </w:tcPr>
          <w:p>
            <w:pPr>
              <w:jc w:val="right"/>
              <w:ind w:right="298"/>
              <w:spacing w:after="0" w:line="12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line="123" w:lineRule="exact"/>
              <w:rPr>
                <w:sz w:val="20"/>
                <w:szCs w:val="20"/>
                <w:color w:val="auto"/>
              </w:rPr>
            </w:pPr>
            <w:r>
              <w:rPr>
                <w:rFonts w:ascii="Arial" w:cs="Arial" w:eastAsia="Arial" w:hAnsi="Arial"/>
                <w:sz w:val="12"/>
                <w:szCs w:val="12"/>
                <w:color w:val="auto"/>
              </w:rPr>
              <w:t>21,491</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440" w:type="dxa"/>
            <w:vAlign w:val="bottom"/>
          </w:tcPr>
          <w:p>
            <w:pPr>
              <w:jc w:val="right"/>
              <w:ind w:right="218"/>
              <w:spacing w:after="0" w:line="123"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32,234</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31,533</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64,431</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6,282</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6,540</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12,518</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3,222</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3,134</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6,347</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81</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84</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162</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72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100</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20" w:type="dxa"/>
            <w:vAlign w:val="bottom"/>
            <w:vMerge w:val="restart"/>
          </w:tcPr>
          <w:p>
            <w:pPr>
              <w:spacing w:after="0"/>
              <w:rPr>
                <w:sz w:val="20"/>
                <w:szCs w:val="20"/>
                <w:color w:val="auto"/>
              </w:rPr>
            </w:pPr>
            <w:r>
              <w:rPr>
                <w:rFonts w:ascii="Arial" w:cs="Arial" w:eastAsia="Arial" w:hAnsi="Arial"/>
                <w:sz w:val="12"/>
                <w:szCs w:val="12"/>
                <w:b w:val="1"/>
                <w:bCs w:val="1"/>
                <w:color w:val="auto"/>
              </w:rPr>
              <w:t>Amortization of Intangible Assets</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62,978</w:t>
            </w:r>
          </w:p>
        </w:tc>
        <w:tc>
          <w:tcPr>
            <w:tcW w:w="540" w:type="dxa"/>
            <w:vAlign w:val="bottom"/>
            <w:tcBorders>
              <w:bottom w:val="single" w:sz="8" w:color="auto"/>
            </w:tcBorders>
          </w:tcPr>
          <w:p>
            <w:pPr>
              <w:jc w:val="right"/>
              <w:ind w:right="298"/>
              <w:spacing w:after="0" w:line="129"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62,882</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125,479</w:t>
            </w:r>
          </w:p>
        </w:tc>
        <w:tc>
          <w:tcPr>
            <w:tcW w:w="440" w:type="dxa"/>
            <w:vAlign w:val="bottom"/>
            <w:tcBorders>
              <w:bottom w:val="single" w:sz="8" w:color="auto"/>
            </w:tcBorders>
          </w:tcPr>
          <w:p>
            <w:pPr>
              <w:jc w:val="right"/>
              <w:ind w:right="218"/>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20" w:type="dxa"/>
            <w:vAlign w:val="bottom"/>
            <w:vMerge w:val="continue"/>
          </w:tcPr>
          <w:p>
            <w:pPr>
              <w:spacing w:after="0"/>
              <w:rPr>
                <w:sz w:val="11"/>
                <w:szCs w:val="11"/>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3,810</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7,053</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72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540" w:type="dxa"/>
            <w:vAlign w:val="bottom"/>
          </w:tcPr>
          <w:p>
            <w:pPr>
              <w:jc w:val="right"/>
              <w:ind w:right="298"/>
              <w:spacing w:after="0" w:line="12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line="123" w:lineRule="exact"/>
              <w:rPr>
                <w:sz w:val="20"/>
                <w:szCs w:val="20"/>
                <w:color w:val="auto"/>
              </w:rPr>
            </w:pPr>
            <w:r>
              <w:rPr>
                <w:rFonts w:ascii="Arial" w:cs="Arial" w:eastAsia="Arial" w:hAnsi="Arial"/>
                <w:sz w:val="12"/>
                <w:szCs w:val="12"/>
                <w:color w:val="auto"/>
              </w:rPr>
              <w:t>5,049</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440" w:type="dxa"/>
            <w:vAlign w:val="bottom"/>
          </w:tcPr>
          <w:p>
            <w:pPr>
              <w:jc w:val="right"/>
              <w:ind w:right="218"/>
              <w:spacing w:after="0" w:line="123"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53</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66</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107</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172</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289</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355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408</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934</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865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72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20" w:type="dxa"/>
            <w:vAlign w:val="bottom"/>
            <w:vMerge w:val="restart"/>
          </w:tcPr>
          <w:p>
            <w:pPr>
              <w:spacing w:after="0"/>
              <w:rPr>
                <w:sz w:val="20"/>
                <w:szCs w:val="20"/>
                <w:color w:val="auto"/>
              </w:rPr>
            </w:pPr>
            <w:r>
              <w:rPr>
                <w:rFonts w:ascii="Arial" w:cs="Arial" w:eastAsia="Arial" w:hAnsi="Arial"/>
                <w:sz w:val="12"/>
                <w:szCs w:val="12"/>
                <w:b w:val="1"/>
                <w:bCs w:val="1"/>
                <w:color w:val="auto"/>
              </w:rPr>
              <w:t>Net Pension Expense (Credit)</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4,443</w:t>
            </w:r>
          </w:p>
        </w:tc>
        <w:tc>
          <w:tcPr>
            <w:tcW w:w="540" w:type="dxa"/>
            <w:vAlign w:val="bottom"/>
            <w:tcBorders>
              <w:bottom w:val="single" w:sz="8" w:color="auto"/>
            </w:tcBorders>
          </w:tcPr>
          <w:p>
            <w:pPr>
              <w:jc w:val="right"/>
              <w:ind w:right="298"/>
              <w:spacing w:after="0" w:line="129"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6,338</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8,380</w:t>
            </w:r>
          </w:p>
        </w:tc>
        <w:tc>
          <w:tcPr>
            <w:tcW w:w="440" w:type="dxa"/>
            <w:vAlign w:val="bottom"/>
            <w:tcBorders>
              <w:bottom w:val="single" w:sz="8" w:color="auto"/>
            </w:tcBorders>
          </w:tcPr>
          <w:p>
            <w:pPr>
              <w:jc w:val="right"/>
              <w:ind w:right="218"/>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20" w:type="dxa"/>
            <w:vAlign w:val="bottom"/>
            <w:vMerge w:val="continue"/>
          </w:tcPr>
          <w:p>
            <w:pPr>
              <w:spacing w:after="0"/>
              <w:rPr>
                <w:sz w:val="11"/>
                <w:szCs w:val="11"/>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1,969</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4,361</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72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540" w:type="dxa"/>
            <w:vAlign w:val="bottom"/>
          </w:tcPr>
          <w:p>
            <w:pPr>
              <w:jc w:val="right"/>
              <w:ind w:right="298"/>
              <w:spacing w:after="0" w:line="12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line="123" w:lineRule="exact"/>
              <w:rPr>
                <w:sz w:val="20"/>
                <w:szCs w:val="20"/>
                <w:color w:val="auto"/>
              </w:rPr>
            </w:pPr>
            <w:r>
              <w:rPr>
                <w:rFonts w:ascii="Arial" w:cs="Arial" w:eastAsia="Arial" w:hAnsi="Arial"/>
                <w:sz w:val="12"/>
                <w:szCs w:val="12"/>
                <w:color w:val="auto"/>
              </w:rPr>
              <w:t>1,652</w:t>
            </w:r>
          </w:p>
        </w:tc>
        <w:tc>
          <w:tcPr>
            <w:tcW w:w="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440" w:type="dxa"/>
            <w:vAlign w:val="bottom"/>
          </w:tcPr>
          <w:p>
            <w:pPr>
              <w:jc w:val="right"/>
              <w:ind w:right="218"/>
              <w:spacing w:after="0" w:line="123"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514</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497</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1,044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7,781</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5,288</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16,392</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1,055</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335</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2,015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2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19</w:t>
            </w:r>
          </w:p>
        </w:tc>
        <w:tc>
          <w:tcPr>
            <w:tcW w:w="540" w:type="dxa"/>
            <w:vAlign w:val="bottom"/>
          </w:tcPr>
          <w:p>
            <w:pPr>
              <w:spacing w:after="0"/>
              <w:rPr>
                <w:sz w:val="11"/>
                <w:szCs w:val="11"/>
                <w:color w:val="auto"/>
              </w:rPr>
            </w:pPr>
          </w:p>
        </w:tc>
        <w:tc>
          <w:tcPr>
            <w:tcW w:w="940" w:type="dxa"/>
            <w:vAlign w:val="bottom"/>
          </w:tcPr>
          <w:p>
            <w:pPr>
              <w:jc w:val="right"/>
              <w:ind w:right="58"/>
              <w:spacing w:after="0" w:line="137" w:lineRule="exact"/>
              <w:rPr>
                <w:sz w:val="20"/>
                <w:szCs w:val="20"/>
                <w:color w:val="auto"/>
              </w:rPr>
            </w:pPr>
            <w:r>
              <w:rPr>
                <w:rFonts w:ascii="Arial" w:cs="Arial" w:eastAsia="Arial" w:hAnsi="Arial"/>
                <w:sz w:val="12"/>
                <w:szCs w:val="12"/>
                <w:color w:val="auto"/>
              </w:rPr>
              <w:t>17</w:t>
            </w:r>
          </w:p>
        </w:tc>
        <w:tc>
          <w:tcPr>
            <w:tcW w:w="320" w:type="dxa"/>
            <w:vAlign w:val="bottom"/>
          </w:tcPr>
          <w:p>
            <w:pPr>
              <w:spacing w:after="0"/>
              <w:rPr>
                <w:sz w:val="11"/>
                <w:szCs w:val="11"/>
                <w:color w:val="auto"/>
              </w:rPr>
            </w:pPr>
          </w:p>
        </w:tc>
        <w:tc>
          <w:tcPr>
            <w:tcW w:w="1160" w:type="dxa"/>
            <w:vAlign w:val="bottom"/>
          </w:tcPr>
          <w:p>
            <w:pPr>
              <w:jc w:val="right"/>
              <w:ind w:right="58"/>
              <w:spacing w:after="0" w:line="137" w:lineRule="exact"/>
              <w:rPr>
                <w:sz w:val="20"/>
                <w:szCs w:val="20"/>
                <w:color w:val="auto"/>
              </w:rPr>
            </w:pPr>
            <w:r>
              <w:rPr>
                <w:rFonts w:ascii="Arial" w:cs="Arial" w:eastAsia="Arial" w:hAnsi="Arial"/>
                <w:sz w:val="12"/>
                <w:szCs w:val="12"/>
                <w:b w:val="1"/>
                <w:bCs w:val="1"/>
                <w:color w:val="auto"/>
              </w:rPr>
              <w:t>38</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72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(8,896)</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(9,247)</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(18,194)</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2,442</w:t>
            </w:r>
          </w:p>
        </w:tc>
        <w:tc>
          <w:tcPr>
            <w:tcW w:w="540" w:type="dxa"/>
            <w:vAlign w:val="bottom"/>
            <w:tcBorders>
              <w:bottom w:val="single" w:sz="8" w:color="auto"/>
            </w:tcBorders>
          </w:tcPr>
          <w:p>
            <w:pPr>
              <w:jc w:val="right"/>
              <w:ind w:right="298"/>
              <w:spacing w:after="0" w:line="129"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2"/>
                <w:szCs w:val="12"/>
                <w:color w:val="auto"/>
              </w:rPr>
              <w:t>(1,458)</w:t>
            </w:r>
          </w:p>
        </w:tc>
        <w:tc>
          <w:tcPr>
            <w:tcW w:w="32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b w:val="1"/>
                <w:bCs w:val="1"/>
                <w:color w:val="auto"/>
              </w:rPr>
              <w:t>5,656</w:t>
            </w:r>
          </w:p>
        </w:tc>
        <w:tc>
          <w:tcPr>
            <w:tcW w:w="440" w:type="dxa"/>
            <w:vAlign w:val="bottom"/>
            <w:tcBorders>
              <w:bottom w:val="single" w:sz="8" w:color="auto"/>
            </w:tcBorders>
          </w:tcPr>
          <w:p>
            <w:pPr>
              <w:jc w:val="right"/>
              <w:ind w:right="218"/>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5" w:name="page16"/>
    <w:bookmarkEnd w:id="15"/>
    <w:p>
      <w:pPr>
        <w:ind w:left="580"/>
        <w:spacing w:after="0"/>
        <w:rPr>
          <w:sz w:val="20"/>
          <w:szCs w:val="20"/>
          <w:color w:val="auto"/>
        </w:rPr>
      </w:pPr>
      <w:r>
        <w:rPr>
          <w:rFonts w:ascii="Arial" w:cs="Arial" w:eastAsia="Arial" w:hAnsi="Arial"/>
          <w:sz w:val="17"/>
          <w:szCs w:val="17"/>
          <w:color w:val="auto"/>
        </w:rPr>
        <w:t>Identifiable assets for the Company’s business segments consist of the following:</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44"/>
        </w:trPr>
        <w:tc>
          <w:tcPr>
            <w:tcW w:w="8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w w:val="93"/>
              </w:rPr>
              <w:t>As of</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8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jc w:val="right"/>
              <w:ind w:right="402"/>
              <w:spacing w:after="0" w:line="110" w:lineRule="exact"/>
              <w:rPr>
                <w:sz w:val="20"/>
                <w:szCs w:val="20"/>
                <w:color w:val="auto"/>
              </w:rPr>
            </w:pPr>
            <w:r>
              <w:rPr>
                <w:rFonts w:ascii="Arial" w:cs="Arial" w:eastAsia="Arial" w:hAnsi="Arial"/>
                <w:sz w:val="12"/>
                <w:szCs w:val="12"/>
                <w:b w:val="1"/>
                <w:bCs w:val="1"/>
                <w:color w:val="auto"/>
              </w:rPr>
              <w:t>June 30,</w:t>
            </w:r>
          </w:p>
        </w:tc>
        <w:tc>
          <w:tcPr>
            <w:tcW w:w="5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44"/>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b w:val="1"/>
                <w:bCs w:val="1"/>
                <w:color w:val="auto"/>
              </w:rPr>
              <w:t>2012</w:t>
            </w: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23"/>
        </w:trPr>
        <w:tc>
          <w:tcPr>
            <w:tcW w:w="8240" w:type="dxa"/>
            <w:vAlign w:val="bottom"/>
          </w:tcPr>
          <w:p>
            <w:pPr>
              <w:spacing w:after="0" w:line="124" w:lineRule="exact"/>
              <w:rPr>
                <w:sz w:val="20"/>
                <w:szCs w:val="20"/>
                <w:color w:val="auto"/>
              </w:rPr>
            </w:pPr>
            <w:r>
              <w:rPr>
                <w:rFonts w:ascii="Arial" w:cs="Arial" w:eastAsia="Arial" w:hAnsi="Arial"/>
                <w:sz w:val="12"/>
                <w:szCs w:val="12"/>
                <w:b w:val="1"/>
                <w:bCs w:val="1"/>
                <w:color w:val="auto"/>
              </w:rPr>
              <w:t>Identifiable Assets</w:t>
            </w:r>
          </w:p>
        </w:tc>
        <w:tc>
          <w:tcPr>
            <w:tcW w:w="36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1,829,263</w:t>
            </w: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24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3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tcPr>
          <w:p>
            <w:pPr>
              <w:jc w:val="right"/>
              <w:ind w:right="22"/>
              <w:spacing w:after="0" w:line="123"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23"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7"/>
        </w:trPr>
        <w:tc>
          <w:tcPr>
            <w:tcW w:w="824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360" w:type="dxa"/>
            <w:vAlign w:val="bottom"/>
          </w:tcPr>
          <w:p>
            <w:pPr>
              <w:spacing w:after="0"/>
              <w:rPr>
                <w:sz w:val="11"/>
                <w:szCs w:val="11"/>
                <w:color w:val="auto"/>
              </w:rPr>
            </w:pPr>
          </w:p>
        </w:tc>
        <w:tc>
          <w:tcPr>
            <w:tcW w:w="10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1,146,806</w:t>
            </w:r>
          </w:p>
        </w:tc>
        <w:tc>
          <w:tcPr>
            <w:tcW w:w="560" w:type="dxa"/>
            <w:vAlign w:val="bottom"/>
          </w:tcPr>
          <w:p>
            <w:pPr>
              <w:spacing w:after="0"/>
              <w:rPr>
                <w:sz w:val="11"/>
                <w:szCs w:val="11"/>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7"/>
        </w:trPr>
        <w:tc>
          <w:tcPr>
            <w:tcW w:w="824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360" w:type="dxa"/>
            <w:vAlign w:val="bottom"/>
          </w:tcPr>
          <w:p>
            <w:pPr>
              <w:spacing w:after="0"/>
              <w:rPr>
                <w:sz w:val="11"/>
                <w:szCs w:val="11"/>
                <w:color w:val="auto"/>
              </w:rPr>
            </w:pPr>
          </w:p>
        </w:tc>
        <w:tc>
          <w:tcPr>
            <w:tcW w:w="10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72,701</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4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360" w:type="dxa"/>
            <w:vAlign w:val="bottom"/>
          </w:tcPr>
          <w:p>
            <w:pPr>
              <w:spacing w:after="0"/>
              <w:rPr>
                <w:sz w:val="11"/>
                <w:szCs w:val="11"/>
                <w:color w:val="auto"/>
              </w:rPr>
            </w:pPr>
          </w:p>
        </w:tc>
        <w:tc>
          <w:tcPr>
            <w:tcW w:w="10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419,592</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4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360" w:type="dxa"/>
            <w:vAlign w:val="bottom"/>
          </w:tcPr>
          <w:p>
            <w:pPr>
              <w:spacing w:after="0"/>
              <w:rPr>
                <w:sz w:val="11"/>
                <w:szCs w:val="11"/>
                <w:color w:val="auto"/>
              </w:rPr>
            </w:pPr>
          </w:p>
        </w:tc>
        <w:tc>
          <w:tcPr>
            <w:tcW w:w="10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9,737</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24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991,887</w:t>
            </w: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40" w:type="dxa"/>
            <w:vAlign w:val="bottom"/>
            <w:vMerge w:val="restart"/>
          </w:tcPr>
          <w:p>
            <w:pPr>
              <w:spacing w:after="0"/>
              <w:rPr>
                <w:sz w:val="20"/>
                <w:szCs w:val="20"/>
                <w:color w:val="auto"/>
              </w:rPr>
            </w:pPr>
            <w:r>
              <w:rPr>
                <w:rFonts w:ascii="Arial" w:cs="Arial" w:eastAsia="Arial" w:hAnsi="Arial"/>
                <w:sz w:val="12"/>
                <w:szCs w:val="12"/>
                <w:b w:val="1"/>
                <w:bCs w:val="1"/>
                <w:color w:val="auto"/>
              </w:rPr>
              <w:t>Investments in Marketable Equity Securities</w:t>
            </w:r>
          </w:p>
        </w:tc>
        <w:tc>
          <w:tcPr>
            <w:tcW w:w="360" w:type="dxa"/>
            <w:vAlign w:val="bottom"/>
            <w:tcBorders>
              <w:bottom w:val="single" w:sz="8" w:color="auto"/>
            </w:tcBorders>
          </w:tcPr>
          <w:p>
            <w:pPr>
              <w:jc w:val="right"/>
              <w:ind w:right="82"/>
              <w:spacing w:after="0" w:line="117" w:lineRule="exact"/>
              <w:rPr>
                <w:sz w:val="20"/>
                <w:szCs w:val="20"/>
                <w:color w:val="auto"/>
              </w:rPr>
            </w:pPr>
            <w:r>
              <w:rPr>
                <w:rFonts w:ascii="Arial" w:cs="Arial" w:eastAsia="Arial" w:hAnsi="Arial"/>
                <w:sz w:val="12"/>
                <w:szCs w:val="12"/>
                <w:b w:val="1"/>
                <w:bCs w:val="1"/>
                <w:color w:val="auto"/>
              </w:rPr>
              <w:t>$</w:t>
            </w:r>
          </w:p>
        </w:tc>
        <w:tc>
          <w:tcPr>
            <w:tcW w:w="10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4,469,986</w:t>
            </w:r>
          </w:p>
        </w:tc>
        <w:tc>
          <w:tcPr>
            <w:tcW w:w="560" w:type="dxa"/>
            <w:vAlign w:val="bottom"/>
            <w:tcBorders>
              <w:bottom w:val="single" w:sz="8" w:color="auto"/>
            </w:tcBorders>
          </w:tcPr>
          <w:p>
            <w:pPr>
              <w:jc w:val="right"/>
              <w:ind w:right="22"/>
              <w:spacing w:after="0" w:line="117"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09"/>
        </w:trPr>
        <w:tc>
          <w:tcPr>
            <w:tcW w:w="82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385,895</w:t>
            </w: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240" w:type="dxa"/>
            <w:vAlign w:val="bottom"/>
          </w:tcPr>
          <w:p>
            <w:pPr>
              <w:spacing w:after="0"/>
              <w:rPr>
                <w:sz w:val="20"/>
                <w:szCs w:val="20"/>
                <w:color w:val="auto"/>
              </w:rPr>
            </w:pPr>
            <w:r>
              <w:rPr>
                <w:rFonts w:ascii="Arial" w:cs="Arial" w:eastAsia="Arial" w:hAnsi="Arial"/>
                <w:sz w:val="12"/>
                <w:szCs w:val="12"/>
                <w:b w:val="1"/>
                <w:bCs w:val="1"/>
                <w:color w:val="auto"/>
              </w:rPr>
              <w:t>Investments in Affiliates</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21,721</w:t>
            </w: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40" w:type="dxa"/>
            <w:vAlign w:val="bottom"/>
          </w:tcPr>
          <w:p>
            <w:pPr>
              <w:spacing w:after="0" w:line="117" w:lineRule="exact"/>
              <w:rPr>
                <w:sz w:val="20"/>
                <w:szCs w:val="20"/>
                <w:color w:val="auto"/>
              </w:rPr>
            </w:pPr>
            <w:r>
              <w:rPr>
                <w:rFonts w:ascii="Arial" w:cs="Arial" w:eastAsia="Arial" w:hAnsi="Arial"/>
                <w:sz w:val="12"/>
                <w:szCs w:val="12"/>
                <w:b w:val="1"/>
                <w:bCs w:val="1"/>
                <w:color w:val="auto"/>
              </w:rPr>
              <w:t>Total Assets</w:t>
            </w:r>
          </w:p>
        </w:tc>
        <w:tc>
          <w:tcPr>
            <w:tcW w:w="360" w:type="dxa"/>
            <w:vAlign w:val="bottom"/>
            <w:tcBorders>
              <w:bottom w:val="single" w:sz="8" w:color="auto"/>
            </w:tcBorders>
          </w:tcPr>
          <w:p>
            <w:pPr>
              <w:jc w:val="right"/>
              <w:ind w:right="82"/>
              <w:spacing w:after="0" w:line="117" w:lineRule="exact"/>
              <w:rPr>
                <w:sz w:val="20"/>
                <w:szCs w:val="20"/>
                <w:color w:val="auto"/>
              </w:rPr>
            </w:pPr>
            <w:r>
              <w:rPr>
                <w:rFonts w:ascii="Arial" w:cs="Arial" w:eastAsia="Arial" w:hAnsi="Arial"/>
                <w:sz w:val="12"/>
                <w:szCs w:val="12"/>
                <w:b w:val="1"/>
                <w:bCs w:val="1"/>
                <w:color w:val="auto"/>
              </w:rPr>
              <w:t>$</w:t>
            </w:r>
          </w:p>
        </w:tc>
        <w:tc>
          <w:tcPr>
            <w:tcW w:w="10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4,877,602</w:t>
            </w:r>
          </w:p>
        </w:tc>
        <w:tc>
          <w:tcPr>
            <w:tcW w:w="560" w:type="dxa"/>
            <w:vAlign w:val="bottom"/>
            <w:tcBorders>
              <w:bottom w:val="single" w:sz="8" w:color="auto"/>
            </w:tcBorders>
          </w:tcPr>
          <w:p>
            <w:pPr>
              <w:jc w:val="right"/>
              <w:ind w:right="22"/>
              <w:spacing w:after="0" w:line="117"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Company’s education division comprises the following operating segments: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Three Months Ended</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gridSpan w:val="4"/>
          </w:tcPr>
          <w:p>
            <w:pPr>
              <w:jc w:val="center"/>
              <w:spacing w:after="0"/>
              <w:rPr>
                <w:sz w:val="20"/>
                <w:szCs w:val="20"/>
                <w:color w:val="auto"/>
              </w:rPr>
            </w:pPr>
            <w:r>
              <w:rPr>
                <w:rFonts w:ascii="Arial" w:cs="Arial" w:eastAsia="Arial" w:hAnsi="Arial"/>
                <w:sz w:val="12"/>
                <w:szCs w:val="12"/>
                <w:b w:val="1"/>
                <w:bCs w:val="1"/>
                <w:color w:val="auto"/>
                <w:w w:val="96"/>
              </w:rPr>
              <w:t>Six Months Ended</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5500" w:type="dxa"/>
            <w:vAlign w:val="bottom"/>
            <w:vMerge w:val="restart"/>
          </w:tcPr>
          <w:p>
            <w:pPr>
              <w:spacing w:after="0"/>
              <w:rPr>
                <w:sz w:val="20"/>
                <w:szCs w:val="20"/>
                <w:color w:val="auto"/>
              </w:rPr>
            </w:pPr>
            <w:r>
              <w:rPr>
                <w:rFonts w:ascii="Arial" w:cs="Arial" w:eastAsia="Arial" w:hAnsi="Arial"/>
                <w:sz w:val="12"/>
                <w:szCs w:val="12"/>
                <w:color w:val="auto"/>
              </w:rPr>
              <w:t>(in thousands)</w:t>
            </w: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2"/>
                <w:szCs w:val="12"/>
                <w:b w:val="1"/>
                <w:bCs w:val="1"/>
                <w:color w:val="auto"/>
                <w:w w:val="95"/>
              </w:rPr>
              <w:t>June 30,</w:t>
            </w: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50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902"/>
              <w:spacing w:after="0" w:line="117" w:lineRule="exact"/>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2"/>
              <w:spacing w:after="0" w:line="117" w:lineRule="exact"/>
              <w:rPr>
                <w:sz w:val="20"/>
                <w:szCs w:val="20"/>
                <w:color w:val="auto"/>
              </w:rPr>
            </w:pPr>
            <w:r>
              <w:rPr>
                <w:rFonts w:ascii="Arial" w:cs="Arial" w:eastAsia="Arial" w:hAnsi="Arial"/>
                <w:sz w:val="12"/>
                <w:szCs w:val="12"/>
                <w:color w:val="auto"/>
              </w:rPr>
              <w:t>2011</w:t>
            </w:r>
          </w:p>
        </w:tc>
        <w:tc>
          <w:tcPr>
            <w:tcW w:w="3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2"/>
              <w:spacing w:after="0" w:line="117" w:lineRule="exact"/>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20"/>
              <w:spacing w:after="0" w:line="117"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500" w:type="dxa"/>
            <w:vAlign w:val="bottom"/>
          </w:tcPr>
          <w:p>
            <w:pPr>
              <w:spacing w:after="0" w:line="124" w:lineRule="exact"/>
              <w:rPr>
                <w:sz w:val="20"/>
                <w:szCs w:val="20"/>
                <w:color w:val="auto"/>
              </w:rPr>
            </w:pPr>
            <w:r>
              <w:rPr>
                <w:rFonts w:ascii="Arial" w:cs="Arial" w:eastAsia="Arial" w:hAnsi="Arial"/>
                <w:sz w:val="12"/>
                <w:szCs w:val="12"/>
                <w:b w:val="1"/>
                <w:bCs w:val="1"/>
                <w:color w:val="auto"/>
              </w:rPr>
              <w:t>Operating Revenues</w:t>
            </w: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w:t>
            </w:r>
          </w:p>
        </w:tc>
        <w:tc>
          <w:tcPr>
            <w:tcW w:w="1320" w:type="dxa"/>
            <w:vAlign w:val="bottom"/>
            <w:vMerge w:val="restart"/>
          </w:tcPr>
          <w:p>
            <w:pPr>
              <w:jc w:val="right"/>
              <w:ind w:right="342"/>
              <w:spacing w:after="0"/>
              <w:rPr>
                <w:sz w:val="20"/>
                <w:szCs w:val="20"/>
                <w:color w:val="auto"/>
              </w:rPr>
            </w:pPr>
            <w:r>
              <w:rPr>
                <w:rFonts w:ascii="Arial" w:cs="Arial" w:eastAsia="Arial" w:hAnsi="Arial"/>
                <w:sz w:val="12"/>
                <w:szCs w:val="12"/>
                <w:b w:val="1"/>
                <w:bCs w:val="1"/>
                <w:color w:val="auto"/>
              </w:rPr>
              <w:t>290,861</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w:t>
            </w:r>
          </w:p>
        </w:tc>
        <w:tc>
          <w:tcPr>
            <w:tcW w:w="86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599,245</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500" w:type="dxa"/>
            <w:vAlign w:val="bottom"/>
          </w:tcPr>
          <w:p>
            <w:pPr>
              <w:ind w:left="220"/>
              <w:spacing w:after="0" w:line="123" w:lineRule="exact"/>
              <w:rPr>
                <w:sz w:val="20"/>
                <w:szCs w:val="20"/>
                <w:color w:val="auto"/>
              </w:rPr>
            </w:pPr>
            <w:r>
              <w:rPr>
                <w:rFonts w:ascii="Arial" w:cs="Arial" w:eastAsia="Arial" w:hAnsi="Arial"/>
                <w:sz w:val="12"/>
                <w:szCs w:val="12"/>
                <w:color w:val="auto"/>
              </w:rPr>
              <w:t>Higher education</w:t>
            </w:r>
          </w:p>
        </w:tc>
        <w:tc>
          <w:tcPr>
            <w:tcW w:w="4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360" w:type="dxa"/>
            <w:vAlign w:val="bottom"/>
          </w:tcPr>
          <w:p>
            <w:pPr>
              <w:jc w:val="right"/>
              <w:ind w:right="222"/>
              <w:spacing w:after="0" w:line="12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82"/>
              <w:spacing w:after="0" w:line="123" w:lineRule="exact"/>
              <w:rPr>
                <w:sz w:val="20"/>
                <w:szCs w:val="20"/>
                <w:color w:val="auto"/>
              </w:rPr>
            </w:pPr>
            <w:r>
              <w:rPr>
                <w:rFonts w:ascii="Arial" w:cs="Arial" w:eastAsia="Arial" w:hAnsi="Arial"/>
                <w:sz w:val="12"/>
                <w:szCs w:val="12"/>
                <w:color w:val="auto"/>
              </w:rPr>
              <w:t>358,312</w:t>
            </w:r>
          </w:p>
        </w:tc>
        <w:tc>
          <w:tcPr>
            <w:tcW w:w="5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60" w:type="dxa"/>
            <w:vAlign w:val="bottom"/>
          </w:tcPr>
          <w:p>
            <w:pPr>
              <w:jc w:val="right"/>
              <w:ind w:right="2"/>
              <w:spacing w:after="0" w:line="123"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Test preparation</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79,786</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83,197</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142,615</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international</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181,656</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169,016</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358,041</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ventures</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6,203</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6,591</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12,324</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corporate and other</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1,003</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1,065</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2,160</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5500" w:type="dxa"/>
            <w:vAlign w:val="bottom"/>
          </w:tcPr>
          <w:p>
            <w:pPr>
              <w:ind w:left="220"/>
              <w:spacing w:after="0"/>
              <w:rPr>
                <w:sz w:val="20"/>
                <w:szCs w:val="20"/>
                <w:color w:val="auto"/>
              </w:rPr>
            </w:pPr>
            <w:r>
              <w:rPr>
                <w:rFonts w:ascii="Arial" w:cs="Arial" w:eastAsia="Arial" w:hAnsi="Arial"/>
                <w:sz w:val="12"/>
                <w:szCs w:val="12"/>
                <w:color w:val="auto"/>
              </w:rPr>
              <w:t>Intersegment elimination</w:t>
            </w: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(1,105)</w:t>
            </w: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(1,219)</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(2,580)</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500" w:type="dxa"/>
            <w:vAlign w:val="bottom"/>
            <w:vMerge w:val="restart"/>
          </w:tcPr>
          <w:p>
            <w:pPr>
              <w:spacing w:after="0"/>
              <w:rPr>
                <w:sz w:val="20"/>
                <w:szCs w:val="20"/>
                <w:color w:val="auto"/>
              </w:rPr>
            </w:pPr>
            <w:r>
              <w:rPr>
                <w:rFonts w:ascii="Arial" w:cs="Arial" w:eastAsia="Arial" w:hAnsi="Arial"/>
                <w:sz w:val="12"/>
                <w:szCs w:val="12"/>
                <w:b w:val="1"/>
                <w:bCs w:val="1"/>
                <w:color w:val="auto"/>
              </w:rPr>
              <w:t>Income (Loss) from Operations</w:t>
            </w:r>
          </w:p>
        </w:tc>
        <w:tc>
          <w:tcPr>
            <w:tcW w:w="44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9"/>
              </w:rPr>
              <w:t>$</w:t>
            </w:r>
          </w:p>
        </w:tc>
        <w:tc>
          <w:tcPr>
            <w:tcW w:w="1320" w:type="dxa"/>
            <w:vAlign w:val="bottom"/>
            <w:tcBorders>
              <w:bottom w:val="single" w:sz="8" w:color="auto"/>
            </w:tcBorders>
          </w:tcPr>
          <w:p>
            <w:pPr>
              <w:jc w:val="right"/>
              <w:ind w:right="342"/>
              <w:spacing w:after="0" w:line="117" w:lineRule="exact"/>
              <w:rPr>
                <w:sz w:val="20"/>
                <w:szCs w:val="20"/>
                <w:color w:val="auto"/>
              </w:rPr>
            </w:pPr>
            <w:r>
              <w:rPr>
                <w:rFonts w:ascii="Arial" w:cs="Arial" w:eastAsia="Arial" w:hAnsi="Arial"/>
                <w:sz w:val="12"/>
                <w:szCs w:val="12"/>
                <w:b w:val="1"/>
                <w:bCs w:val="1"/>
                <w:color w:val="auto"/>
              </w:rPr>
              <w:t>558,404</w:t>
            </w:r>
          </w:p>
        </w:tc>
        <w:tc>
          <w:tcPr>
            <w:tcW w:w="360" w:type="dxa"/>
            <w:vAlign w:val="bottom"/>
            <w:tcBorders>
              <w:bottom w:val="single" w:sz="8" w:color="auto"/>
            </w:tcBorders>
          </w:tcPr>
          <w:p>
            <w:pPr>
              <w:jc w:val="right"/>
              <w:ind w:right="222"/>
              <w:spacing w:after="0" w:line="117" w:lineRule="exact"/>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gridSpan w:val="2"/>
          </w:tcPr>
          <w:p>
            <w:pPr>
              <w:jc w:val="right"/>
              <w:ind w:right="82"/>
              <w:spacing w:after="0" w:line="117" w:lineRule="exact"/>
              <w:rPr>
                <w:sz w:val="20"/>
                <w:szCs w:val="20"/>
                <w:color w:val="auto"/>
              </w:rPr>
            </w:pPr>
            <w:r>
              <w:rPr>
                <w:rFonts w:ascii="Arial" w:cs="Arial" w:eastAsia="Arial" w:hAnsi="Arial"/>
                <w:sz w:val="12"/>
                <w:szCs w:val="12"/>
                <w:color w:val="auto"/>
              </w:rPr>
              <w:t>616,962</w:t>
            </w:r>
          </w:p>
        </w:tc>
        <w:tc>
          <w:tcPr>
            <w:tcW w:w="540" w:type="dxa"/>
            <w:vAlign w:val="bottom"/>
            <w:tcBorders>
              <w:bottom w:val="single" w:sz="8" w:color="auto"/>
            </w:tcBorders>
          </w:tcPr>
          <w:p>
            <w:pPr>
              <w:jc w:val="right"/>
              <w:ind w:right="142"/>
              <w:spacing w:after="0" w:line="117"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ind w:right="22"/>
              <w:spacing w:after="0" w:line="117" w:lineRule="exact"/>
              <w:rPr>
                <w:sz w:val="20"/>
                <w:szCs w:val="20"/>
                <w:color w:val="auto"/>
              </w:rPr>
            </w:pPr>
            <w:r>
              <w:rPr>
                <w:rFonts w:ascii="Arial" w:cs="Arial" w:eastAsia="Arial" w:hAnsi="Arial"/>
                <w:sz w:val="12"/>
                <w:szCs w:val="12"/>
                <w:b w:val="1"/>
                <w:bCs w:val="1"/>
                <w:color w:val="auto"/>
              </w:rPr>
              <w:t>1,111,805</w:t>
            </w:r>
          </w:p>
        </w:tc>
        <w:tc>
          <w:tcPr>
            <w:tcW w:w="460" w:type="dxa"/>
            <w:vAlign w:val="bottom"/>
            <w:tcBorders>
              <w:bottom w:val="single" w:sz="8" w:color="auto"/>
            </w:tcBorders>
          </w:tcPr>
          <w:p>
            <w:pPr>
              <w:jc w:val="right"/>
              <w:ind w:right="2"/>
              <w:spacing w:after="0" w:line="117"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gridSpan w:val="2"/>
          </w:tcPr>
          <w:p>
            <w:pPr>
              <w:jc w:val="right"/>
              <w:spacing w:after="0" w:line="117"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w:t>
            </w:r>
          </w:p>
        </w:tc>
        <w:tc>
          <w:tcPr>
            <w:tcW w:w="1320" w:type="dxa"/>
            <w:vAlign w:val="bottom"/>
            <w:vMerge w:val="restart"/>
          </w:tcPr>
          <w:p>
            <w:pPr>
              <w:jc w:val="right"/>
              <w:ind w:right="342"/>
              <w:spacing w:after="0"/>
              <w:rPr>
                <w:sz w:val="20"/>
                <w:szCs w:val="20"/>
                <w:color w:val="auto"/>
              </w:rPr>
            </w:pPr>
            <w:r>
              <w:rPr>
                <w:rFonts w:ascii="Arial" w:cs="Arial" w:eastAsia="Arial" w:hAnsi="Arial"/>
                <w:sz w:val="12"/>
                <w:szCs w:val="12"/>
                <w:b w:val="1"/>
                <w:bCs w:val="1"/>
                <w:color w:val="auto"/>
              </w:rPr>
              <w:t>5,858</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w:t>
            </w:r>
          </w:p>
        </w:tc>
        <w:tc>
          <w:tcPr>
            <w:tcW w:w="86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14,812</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500" w:type="dxa"/>
            <w:vAlign w:val="bottom"/>
          </w:tcPr>
          <w:p>
            <w:pPr>
              <w:ind w:left="220"/>
              <w:spacing w:after="0" w:line="123" w:lineRule="exact"/>
              <w:rPr>
                <w:sz w:val="20"/>
                <w:szCs w:val="20"/>
                <w:color w:val="auto"/>
              </w:rPr>
            </w:pPr>
            <w:r>
              <w:rPr>
                <w:rFonts w:ascii="Arial" w:cs="Arial" w:eastAsia="Arial" w:hAnsi="Arial"/>
                <w:sz w:val="12"/>
                <w:szCs w:val="12"/>
                <w:color w:val="auto"/>
              </w:rPr>
              <w:t>Higher education</w:t>
            </w:r>
          </w:p>
        </w:tc>
        <w:tc>
          <w:tcPr>
            <w:tcW w:w="4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360" w:type="dxa"/>
            <w:vAlign w:val="bottom"/>
          </w:tcPr>
          <w:p>
            <w:pPr>
              <w:jc w:val="right"/>
              <w:ind w:right="222"/>
              <w:spacing w:after="0" w:line="12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82"/>
              <w:spacing w:after="0" w:line="123" w:lineRule="exact"/>
              <w:rPr>
                <w:sz w:val="20"/>
                <w:szCs w:val="20"/>
                <w:color w:val="auto"/>
              </w:rPr>
            </w:pPr>
            <w:r>
              <w:rPr>
                <w:rFonts w:ascii="Arial" w:cs="Arial" w:eastAsia="Arial" w:hAnsi="Arial"/>
                <w:sz w:val="12"/>
                <w:szCs w:val="12"/>
                <w:color w:val="auto"/>
              </w:rPr>
              <w:t>45,157</w:t>
            </w:r>
          </w:p>
        </w:tc>
        <w:tc>
          <w:tcPr>
            <w:tcW w:w="5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60" w:type="dxa"/>
            <w:vAlign w:val="bottom"/>
          </w:tcPr>
          <w:p>
            <w:pPr>
              <w:jc w:val="right"/>
              <w:ind w:right="2"/>
              <w:spacing w:after="0" w:line="123"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Test preparation</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2,706</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(11,597)</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(7,513)</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international</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9,294</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8,642</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12,717</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ventures</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(369)</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(2,079)</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(1,630)</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corporate and other</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(14,299)</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(18,673)</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(28,578)</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5500" w:type="dxa"/>
            <w:vAlign w:val="bottom"/>
          </w:tcPr>
          <w:p>
            <w:pPr>
              <w:ind w:left="220"/>
              <w:spacing w:after="0"/>
              <w:rPr>
                <w:sz w:val="20"/>
                <w:szCs w:val="20"/>
                <w:color w:val="auto"/>
              </w:rPr>
            </w:pPr>
            <w:r>
              <w:rPr>
                <w:rFonts w:ascii="Arial" w:cs="Arial" w:eastAsia="Arial" w:hAnsi="Arial"/>
                <w:sz w:val="12"/>
                <w:szCs w:val="12"/>
                <w:color w:val="auto"/>
              </w:rPr>
              <w:t>Intersegment elimination</w:t>
            </w: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161</w:t>
            </w: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18</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355</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500" w:type="dxa"/>
            <w:vAlign w:val="bottom"/>
            <w:vMerge w:val="restart"/>
          </w:tcPr>
          <w:p>
            <w:pPr>
              <w:spacing w:after="0"/>
              <w:rPr>
                <w:sz w:val="20"/>
                <w:szCs w:val="20"/>
                <w:color w:val="auto"/>
              </w:rPr>
            </w:pPr>
            <w:r>
              <w:rPr>
                <w:rFonts w:ascii="Arial" w:cs="Arial" w:eastAsia="Arial" w:hAnsi="Arial"/>
                <w:sz w:val="12"/>
                <w:szCs w:val="12"/>
                <w:b w:val="1"/>
                <w:bCs w:val="1"/>
                <w:color w:val="auto"/>
              </w:rPr>
              <w:t>Depreciation of Property, Plant and Equipment</w:t>
            </w:r>
          </w:p>
        </w:tc>
        <w:tc>
          <w:tcPr>
            <w:tcW w:w="44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9"/>
              </w:rPr>
              <w:t>$</w:t>
            </w:r>
          </w:p>
        </w:tc>
        <w:tc>
          <w:tcPr>
            <w:tcW w:w="1320" w:type="dxa"/>
            <w:vAlign w:val="bottom"/>
            <w:tcBorders>
              <w:bottom w:val="single" w:sz="8" w:color="auto"/>
            </w:tcBorders>
          </w:tcPr>
          <w:p>
            <w:pPr>
              <w:jc w:val="right"/>
              <w:ind w:right="342"/>
              <w:spacing w:after="0" w:line="117" w:lineRule="exact"/>
              <w:rPr>
                <w:sz w:val="20"/>
                <w:szCs w:val="20"/>
                <w:color w:val="auto"/>
              </w:rPr>
            </w:pPr>
            <w:r>
              <w:rPr>
                <w:rFonts w:ascii="Arial" w:cs="Arial" w:eastAsia="Arial" w:hAnsi="Arial"/>
                <w:sz w:val="12"/>
                <w:szCs w:val="12"/>
                <w:b w:val="1"/>
                <w:bCs w:val="1"/>
                <w:color w:val="auto"/>
              </w:rPr>
              <w:t>3,351</w:t>
            </w:r>
          </w:p>
        </w:tc>
        <w:tc>
          <w:tcPr>
            <w:tcW w:w="360" w:type="dxa"/>
            <w:vAlign w:val="bottom"/>
            <w:tcBorders>
              <w:bottom w:val="single" w:sz="8" w:color="auto"/>
            </w:tcBorders>
          </w:tcPr>
          <w:p>
            <w:pPr>
              <w:jc w:val="right"/>
              <w:ind w:right="222"/>
              <w:spacing w:after="0" w:line="117" w:lineRule="exact"/>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gridSpan w:val="2"/>
          </w:tcPr>
          <w:p>
            <w:pPr>
              <w:jc w:val="right"/>
              <w:ind w:right="82"/>
              <w:spacing w:after="0" w:line="117" w:lineRule="exact"/>
              <w:rPr>
                <w:sz w:val="20"/>
                <w:szCs w:val="20"/>
                <w:color w:val="auto"/>
              </w:rPr>
            </w:pPr>
            <w:r>
              <w:rPr>
                <w:rFonts w:ascii="Arial" w:cs="Arial" w:eastAsia="Arial" w:hAnsi="Arial"/>
                <w:sz w:val="12"/>
                <w:szCs w:val="12"/>
                <w:color w:val="auto"/>
              </w:rPr>
              <w:t>21,468</w:t>
            </w:r>
          </w:p>
        </w:tc>
        <w:tc>
          <w:tcPr>
            <w:tcW w:w="540" w:type="dxa"/>
            <w:vAlign w:val="bottom"/>
            <w:tcBorders>
              <w:bottom w:val="single" w:sz="8" w:color="auto"/>
            </w:tcBorders>
          </w:tcPr>
          <w:p>
            <w:pPr>
              <w:jc w:val="right"/>
              <w:ind w:right="142"/>
              <w:spacing w:after="0" w:line="117"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ind w:right="22"/>
              <w:spacing w:after="0" w:line="117" w:lineRule="exact"/>
              <w:rPr>
                <w:sz w:val="20"/>
                <w:szCs w:val="20"/>
                <w:color w:val="auto"/>
              </w:rPr>
            </w:pPr>
            <w:r>
              <w:rPr>
                <w:rFonts w:ascii="Arial" w:cs="Arial" w:eastAsia="Arial" w:hAnsi="Arial"/>
                <w:sz w:val="12"/>
                <w:szCs w:val="12"/>
                <w:b w:val="1"/>
                <w:bCs w:val="1"/>
                <w:color w:val="auto"/>
              </w:rPr>
              <w:t>(9,837)</w:t>
            </w:r>
          </w:p>
        </w:tc>
        <w:tc>
          <w:tcPr>
            <w:tcW w:w="460" w:type="dxa"/>
            <w:vAlign w:val="bottom"/>
            <w:tcBorders>
              <w:bottom w:val="single" w:sz="8" w:color="auto"/>
            </w:tcBorders>
          </w:tcPr>
          <w:p>
            <w:pPr>
              <w:jc w:val="right"/>
              <w:ind w:right="2"/>
              <w:spacing w:after="0" w:line="117" w:lineRule="exact"/>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w:t>
            </w:r>
          </w:p>
        </w:tc>
        <w:tc>
          <w:tcPr>
            <w:tcW w:w="1320" w:type="dxa"/>
            <w:vAlign w:val="bottom"/>
            <w:vMerge w:val="restart"/>
          </w:tcPr>
          <w:p>
            <w:pPr>
              <w:jc w:val="right"/>
              <w:ind w:right="342"/>
              <w:spacing w:after="0"/>
              <w:rPr>
                <w:sz w:val="20"/>
                <w:szCs w:val="20"/>
                <w:color w:val="auto"/>
              </w:rPr>
            </w:pPr>
            <w:r>
              <w:rPr>
                <w:rFonts w:ascii="Arial" w:cs="Arial" w:eastAsia="Arial" w:hAnsi="Arial"/>
                <w:sz w:val="12"/>
                <w:szCs w:val="12"/>
                <w:b w:val="1"/>
                <w:bCs w:val="1"/>
                <w:color w:val="auto"/>
              </w:rPr>
              <w:t>11,673</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w:t>
            </w:r>
          </w:p>
        </w:tc>
        <w:tc>
          <w:tcPr>
            <w:tcW w:w="86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23,430</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500" w:type="dxa"/>
            <w:vAlign w:val="bottom"/>
          </w:tcPr>
          <w:p>
            <w:pPr>
              <w:ind w:left="220"/>
              <w:spacing w:after="0" w:line="123" w:lineRule="exact"/>
              <w:rPr>
                <w:sz w:val="20"/>
                <w:szCs w:val="20"/>
                <w:color w:val="auto"/>
              </w:rPr>
            </w:pPr>
            <w:r>
              <w:rPr>
                <w:rFonts w:ascii="Arial" w:cs="Arial" w:eastAsia="Arial" w:hAnsi="Arial"/>
                <w:sz w:val="12"/>
                <w:szCs w:val="12"/>
                <w:color w:val="auto"/>
              </w:rPr>
              <w:t>Higher education</w:t>
            </w:r>
          </w:p>
        </w:tc>
        <w:tc>
          <w:tcPr>
            <w:tcW w:w="4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360" w:type="dxa"/>
            <w:vAlign w:val="bottom"/>
          </w:tcPr>
          <w:p>
            <w:pPr>
              <w:jc w:val="right"/>
              <w:ind w:right="222"/>
              <w:spacing w:after="0" w:line="12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82"/>
              <w:spacing w:after="0" w:line="123" w:lineRule="exact"/>
              <w:rPr>
                <w:sz w:val="20"/>
                <w:szCs w:val="20"/>
                <w:color w:val="auto"/>
              </w:rPr>
            </w:pPr>
            <w:r>
              <w:rPr>
                <w:rFonts w:ascii="Arial" w:cs="Arial" w:eastAsia="Arial" w:hAnsi="Arial"/>
                <w:sz w:val="12"/>
                <w:szCs w:val="12"/>
                <w:color w:val="auto"/>
              </w:rPr>
              <w:t>11,897</w:t>
            </w:r>
          </w:p>
        </w:tc>
        <w:tc>
          <w:tcPr>
            <w:tcW w:w="5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60" w:type="dxa"/>
            <w:vAlign w:val="bottom"/>
          </w:tcPr>
          <w:p>
            <w:pPr>
              <w:jc w:val="right"/>
              <w:ind w:right="2"/>
              <w:spacing w:after="0" w:line="123"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Test preparation</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4,449</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3,796</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8,764</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international</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4,472</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4,752</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8,672</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ventures</w:t>
            </w:r>
          </w:p>
        </w:tc>
        <w:tc>
          <w:tcPr>
            <w:tcW w:w="440" w:type="dxa"/>
            <w:vAlign w:val="bottom"/>
          </w:tcPr>
          <w:p>
            <w:pPr>
              <w:spacing w:after="0"/>
              <w:rPr>
                <w:sz w:val="11"/>
                <w:szCs w:val="11"/>
                <w:color w:val="auto"/>
              </w:rPr>
            </w:pPr>
          </w:p>
        </w:tc>
        <w:tc>
          <w:tcPr>
            <w:tcW w:w="1320" w:type="dxa"/>
            <w:vAlign w:val="bottom"/>
          </w:tcPr>
          <w:p>
            <w:pPr>
              <w:jc w:val="right"/>
              <w:ind w:right="342"/>
              <w:spacing w:after="0" w:line="137" w:lineRule="exact"/>
              <w:rPr>
                <w:sz w:val="20"/>
                <w:szCs w:val="20"/>
                <w:color w:val="auto"/>
              </w:rPr>
            </w:pPr>
            <w:r>
              <w:rPr>
                <w:rFonts w:ascii="Arial" w:cs="Arial" w:eastAsia="Arial" w:hAnsi="Arial"/>
                <w:sz w:val="12"/>
                <w:szCs w:val="12"/>
                <w:b w:val="1"/>
                <w:bCs w:val="1"/>
                <w:color w:val="auto"/>
              </w:rPr>
              <w:t>148</w:t>
            </w:r>
          </w:p>
        </w:tc>
        <w:tc>
          <w:tcPr>
            <w:tcW w:w="360" w:type="dxa"/>
            <w:vAlign w:val="bottom"/>
          </w:tcPr>
          <w:p>
            <w:pPr>
              <w:spacing w:after="0"/>
              <w:rPr>
                <w:sz w:val="11"/>
                <w:szCs w:val="11"/>
                <w:color w:val="auto"/>
              </w:rPr>
            </w:pPr>
          </w:p>
        </w:tc>
        <w:tc>
          <w:tcPr>
            <w:tcW w:w="980" w:type="dxa"/>
            <w:vAlign w:val="bottom"/>
            <w:gridSpan w:val="2"/>
          </w:tcPr>
          <w:p>
            <w:pPr>
              <w:jc w:val="right"/>
              <w:ind w:right="82"/>
              <w:spacing w:after="0" w:line="137" w:lineRule="exact"/>
              <w:rPr>
                <w:sz w:val="20"/>
                <w:szCs w:val="20"/>
                <w:color w:val="auto"/>
              </w:rPr>
            </w:pPr>
            <w:r>
              <w:rPr>
                <w:rFonts w:ascii="Arial" w:cs="Arial" w:eastAsia="Arial" w:hAnsi="Arial"/>
                <w:sz w:val="12"/>
                <w:szCs w:val="12"/>
                <w:color w:val="auto"/>
              </w:rPr>
              <w:t>181</w:t>
            </w:r>
          </w:p>
        </w:tc>
        <w:tc>
          <w:tcPr>
            <w:tcW w:w="540" w:type="dxa"/>
            <w:vAlign w:val="bottom"/>
          </w:tcPr>
          <w:p>
            <w:pPr>
              <w:spacing w:after="0"/>
              <w:rPr>
                <w:sz w:val="11"/>
                <w:szCs w:val="11"/>
                <w:color w:val="auto"/>
              </w:rPr>
            </w:pPr>
          </w:p>
        </w:tc>
        <w:tc>
          <w:tcPr>
            <w:tcW w:w="860" w:type="dxa"/>
            <w:vAlign w:val="bottom"/>
          </w:tcPr>
          <w:p>
            <w:pPr>
              <w:jc w:val="right"/>
              <w:ind w:right="22"/>
              <w:spacing w:after="0" w:line="137" w:lineRule="exact"/>
              <w:rPr>
                <w:sz w:val="20"/>
                <w:szCs w:val="20"/>
                <w:color w:val="auto"/>
              </w:rPr>
            </w:pPr>
            <w:r>
              <w:rPr>
                <w:rFonts w:ascii="Arial" w:cs="Arial" w:eastAsia="Arial" w:hAnsi="Arial"/>
                <w:sz w:val="12"/>
                <w:szCs w:val="12"/>
                <w:b w:val="1"/>
                <w:bCs w:val="1"/>
                <w:color w:val="auto"/>
              </w:rPr>
              <w:t>293</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5500" w:type="dxa"/>
            <w:vAlign w:val="bottom"/>
          </w:tcPr>
          <w:p>
            <w:pPr>
              <w:ind w:left="220"/>
              <w:spacing w:after="0"/>
              <w:rPr>
                <w:sz w:val="20"/>
                <w:szCs w:val="20"/>
                <w:color w:val="auto"/>
              </w:rPr>
            </w:pPr>
            <w:r>
              <w:rPr>
                <w:rFonts w:ascii="Arial" w:cs="Arial" w:eastAsia="Arial" w:hAnsi="Arial"/>
                <w:sz w:val="12"/>
                <w:szCs w:val="12"/>
                <w:color w:val="auto"/>
              </w:rPr>
              <w:t>Kaplan corporate and other</w:t>
            </w: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417</w:t>
            </w: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865</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862</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44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9"/>
              </w:rPr>
              <w:t>$</w:t>
            </w:r>
          </w:p>
        </w:tc>
        <w:tc>
          <w:tcPr>
            <w:tcW w:w="1320" w:type="dxa"/>
            <w:vAlign w:val="bottom"/>
            <w:tcBorders>
              <w:bottom w:val="single" w:sz="8" w:color="auto"/>
            </w:tcBorders>
          </w:tcPr>
          <w:p>
            <w:pPr>
              <w:jc w:val="right"/>
              <w:ind w:right="342"/>
              <w:spacing w:after="0" w:line="117" w:lineRule="exact"/>
              <w:rPr>
                <w:sz w:val="20"/>
                <w:szCs w:val="20"/>
                <w:color w:val="auto"/>
              </w:rPr>
            </w:pPr>
            <w:r>
              <w:rPr>
                <w:rFonts w:ascii="Arial" w:cs="Arial" w:eastAsia="Arial" w:hAnsi="Arial"/>
                <w:sz w:val="12"/>
                <w:szCs w:val="12"/>
                <w:b w:val="1"/>
                <w:bCs w:val="1"/>
                <w:color w:val="auto"/>
              </w:rPr>
              <w:t>21,159</w:t>
            </w:r>
          </w:p>
        </w:tc>
        <w:tc>
          <w:tcPr>
            <w:tcW w:w="360" w:type="dxa"/>
            <w:vAlign w:val="bottom"/>
            <w:tcBorders>
              <w:bottom w:val="single" w:sz="8" w:color="auto"/>
            </w:tcBorders>
          </w:tcPr>
          <w:p>
            <w:pPr>
              <w:jc w:val="right"/>
              <w:ind w:right="222"/>
              <w:spacing w:after="0" w:line="117" w:lineRule="exact"/>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gridSpan w:val="2"/>
          </w:tcPr>
          <w:p>
            <w:pPr>
              <w:jc w:val="right"/>
              <w:ind w:right="82"/>
              <w:spacing w:after="0" w:line="117" w:lineRule="exact"/>
              <w:rPr>
                <w:sz w:val="20"/>
                <w:szCs w:val="20"/>
                <w:color w:val="auto"/>
              </w:rPr>
            </w:pPr>
            <w:r>
              <w:rPr>
                <w:rFonts w:ascii="Arial" w:cs="Arial" w:eastAsia="Arial" w:hAnsi="Arial"/>
                <w:sz w:val="12"/>
                <w:szCs w:val="12"/>
                <w:color w:val="auto"/>
              </w:rPr>
              <w:t>21,491</w:t>
            </w:r>
          </w:p>
        </w:tc>
        <w:tc>
          <w:tcPr>
            <w:tcW w:w="540" w:type="dxa"/>
            <w:vAlign w:val="bottom"/>
            <w:tcBorders>
              <w:bottom w:val="single" w:sz="8" w:color="auto"/>
            </w:tcBorders>
          </w:tcPr>
          <w:p>
            <w:pPr>
              <w:jc w:val="right"/>
              <w:ind w:right="142"/>
              <w:spacing w:after="0" w:line="117"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ind w:right="22"/>
              <w:spacing w:after="0" w:line="117" w:lineRule="exact"/>
              <w:rPr>
                <w:sz w:val="20"/>
                <w:szCs w:val="20"/>
                <w:color w:val="auto"/>
              </w:rPr>
            </w:pPr>
            <w:r>
              <w:rPr>
                <w:rFonts w:ascii="Arial" w:cs="Arial" w:eastAsia="Arial" w:hAnsi="Arial"/>
                <w:sz w:val="12"/>
                <w:szCs w:val="12"/>
                <w:b w:val="1"/>
                <w:bCs w:val="1"/>
                <w:color w:val="auto"/>
              </w:rPr>
              <w:t>42,021</w:t>
            </w:r>
          </w:p>
        </w:tc>
        <w:tc>
          <w:tcPr>
            <w:tcW w:w="460" w:type="dxa"/>
            <w:vAlign w:val="bottom"/>
            <w:tcBorders>
              <w:bottom w:val="single" w:sz="8" w:color="auto"/>
            </w:tcBorders>
          </w:tcPr>
          <w:p>
            <w:pPr>
              <w:jc w:val="right"/>
              <w:ind w:right="2"/>
              <w:spacing w:after="0" w:line="117" w:lineRule="exact"/>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58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7"/>
                <w:szCs w:val="17"/>
                <w:color w:val="auto"/>
                <w:w w:val="98"/>
              </w:rPr>
              <w:t>Identifiable assets for the Company’s education division consist of the following:</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5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2"/>
          </w:tcPr>
          <w:p>
            <w:pPr>
              <w:jc w:val="right"/>
              <w:ind w:right="722"/>
              <w:spacing w:after="0" w:line="110" w:lineRule="exact"/>
              <w:rPr>
                <w:sz w:val="20"/>
                <w:szCs w:val="20"/>
                <w:color w:val="auto"/>
              </w:rPr>
            </w:pPr>
            <w:r>
              <w:rPr>
                <w:rFonts w:ascii="Arial" w:cs="Arial" w:eastAsia="Arial" w:hAnsi="Arial"/>
                <w:sz w:val="12"/>
                <w:szCs w:val="12"/>
                <w:b w:val="1"/>
                <w:bCs w:val="1"/>
                <w:color w:val="auto"/>
              </w:rPr>
              <w:t>June 30,</w:t>
            </w:r>
          </w:p>
        </w:tc>
        <w:tc>
          <w:tcPr>
            <w:tcW w:w="940" w:type="dxa"/>
            <w:vAlign w:val="bottom"/>
            <w:gridSpan w:val="3"/>
          </w:tcPr>
          <w:p>
            <w:pPr>
              <w:jc w:val="right"/>
              <w:spacing w:after="0" w:line="110" w:lineRule="exact"/>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2011</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500" w:type="dxa"/>
            <w:vAlign w:val="bottom"/>
          </w:tcPr>
          <w:p>
            <w:pPr>
              <w:spacing w:after="0" w:line="124" w:lineRule="exact"/>
              <w:rPr>
                <w:sz w:val="20"/>
                <w:szCs w:val="20"/>
                <w:color w:val="auto"/>
              </w:rPr>
            </w:pPr>
            <w:r>
              <w:rPr>
                <w:rFonts w:ascii="Arial" w:cs="Arial" w:eastAsia="Arial" w:hAnsi="Arial"/>
                <w:sz w:val="12"/>
                <w:szCs w:val="12"/>
                <w:color w:val="auto"/>
              </w:rPr>
              <w:t>Identifiable assets</w:t>
            </w: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2"/>
            <w:vMerge w:val="restart"/>
          </w:tcPr>
          <w:p>
            <w:pPr>
              <w:jc w:val="right"/>
              <w:ind w:right="162"/>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spacing w:after="0"/>
              <w:rPr>
                <w:sz w:val="10"/>
                <w:szCs w:val="10"/>
                <w:color w:val="auto"/>
              </w:rPr>
            </w:pPr>
          </w:p>
        </w:tc>
        <w:tc>
          <w:tcPr>
            <w:tcW w:w="860" w:type="dxa"/>
            <w:vAlign w:val="bottom"/>
            <w:vMerge w:val="restart"/>
          </w:tcPr>
          <w:p>
            <w:pPr>
              <w:jc w:val="right"/>
              <w:ind w:right="262"/>
              <w:spacing w:after="0"/>
              <w:rPr>
                <w:sz w:val="20"/>
                <w:szCs w:val="20"/>
                <w:color w:val="auto"/>
              </w:rPr>
            </w:pPr>
            <w:r>
              <w:rPr>
                <w:rFonts w:ascii="Arial" w:cs="Arial" w:eastAsia="Arial" w:hAnsi="Arial"/>
                <w:sz w:val="12"/>
                <w:szCs w:val="12"/>
                <w:b w:val="1"/>
                <w:bCs w:val="1"/>
                <w:color w:val="auto"/>
              </w:rPr>
              <w:t>645,779</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500" w:type="dxa"/>
            <w:vAlign w:val="bottom"/>
          </w:tcPr>
          <w:p>
            <w:pPr>
              <w:ind w:left="220"/>
              <w:spacing w:after="0" w:line="123" w:lineRule="exact"/>
              <w:rPr>
                <w:sz w:val="20"/>
                <w:szCs w:val="20"/>
                <w:color w:val="auto"/>
              </w:rPr>
            </w:pPr>
            <w:r>
              <w:rPr>
                <w:rFonts w:ascii="Arial" w:cs="Arial" w:eastAsia="Arial" w:hAnsi="Arial"/>
                <w:sz w:val="12"/>
                <w:szCs w:val="12"/>
                <w:color w:val="auto"/>
              </w:rPr>
              <w:t>Higher education</w:t>
            </w: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60" w:type="dxa"/>
            <w:vAlign w:val="bottom"/>
          </w:tcPr>
          <w:p>
            <w:pPr>
              <w:jc w:val="center"/>
              <w:ind w:right="302"/>
              <w:spacing w:after="0" w:line="123" w:lineRule="exact"/>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Test preparation</w:t>
            </w:r>
          </w:p>
        </w:tc>
        <w:tc>
          <w:tcPr>
            <w:tcW w:w="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jc w:val="right"/>
              <w:ind w:right="262"/>
              <w:spacing w:after="0" w:line="137" w:lineRule="exact"/>
              <w:rPr>
                <w:sz w:val="20"/>
                <w:szCs w:val="20"/>
                <w:color w:val="auto"/>
              </w:rPr>
            </w:pPr>
            <w:r>
              <w:rPr>
                <w:rFonts w:ascii="Arial" w:cs="Arial" w:eastAsia="Arial" w:hAnsi="Arial"/>
                <w:sz w:val="12"/>
                <w:szCs w:val="12"/>
                <w:b w:val="1"/>
                <w:bCs w:val="1"/>
                <w:color w:val="auto"/>
              </w:rPr>
              <w:t>322,898</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international</w:t>
            </w:r>
          </w:p>
        </w:tc>
        <w:tc>
          <w:tcPr>
            <w:tcW w:w="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jc w:val="right"/>
              <w:ind w:right="262"/>
              <w:spacing w:after="0" w:line="137" w:lineRule="exact"/>
              <w:rPr>
                <w:sz w:val="20"/>
                <w:szCs w:val="20"/>
                <w:color w:val="auto"/>
              </w:rPr>
            </w:pPr>
            <w:r>
              <w:rPr>
                <w:rFonts w:ascii="Arial" w:cs="Arial" w:eastAsia="Arial" w:hAnsi="Arial"/>
                <w:sz w:val="12"/>
                <w:szCs w:val="12"/>
                <w:b w:val="1"/>
                <w:bCs w:val="1"/>
                <w:color w:val="auto"/>
              </w:rPr>
              <w:t>824,105</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5500" w:type="dxa"/>
            <w:vAlign w:val="bottom"/>
          </w:tcPr>
          <w:p>
            <w:pPr>
              <w:ind w:left="220"/>
              <w:spacing w:after="0" w:line="137" w:lineRule="exact"/>
              <w:rPr>
                <w:sz w:val="20"/>
                <w:szCs w:val="20"/>
                <w:color w:val="auto"/>
              </w:rPr>
            </w:pPr>
            <w:r>
              <w:rPr>
                <w:rFonts w:ascii="Arial" w:cs="Arial" w:eastAsia="Arial" w:hAnsi="Arial"/>
                <w:sz w:val="12"/>
                <w:szCs w:val="12"/>
                <w:color w:val="auto"/>
              </w:rPr>
              <w:t>Kaplan ventures</w:t>
            </w:r>
          </w:p>
        </w:tc>
        <w:tc>
          <w:tcPr>
            <w:tcW w:w="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jc w:val="right"/>
              <w:ind w:right="262"/>
              <w:spacing w:after="0" w:line="137" w:lineRule="exact"/>
              <w:rPr>
                <w:sz w:val="20"/>
                <w:szCs w:val="20"/>
                <w:color w:val="auto"/>
              </w:rPr>
            </w:pPr>
            <w:r>
              <w:rPr>
                <w:rFonts w:ascii="Arial" w:cs="Arial" w:eastAsia="Arial" w:hAnsi="Arial"/>
                <w:sz w:val="12"/>
                <w:szCs w:val="12"/>
                <w:b w:val="1"/>
                <w:bCs w:val="1"/>
                <w:color w:val="auto"/>
              </w:rPr>
              <w:t>25,857</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5500" w:type="dxa"/>
            <w:vAlign w:val="bottom"/>
          </w:tcPr>
          <w:p>
            <w:pPr>
              <w:ind w:left="220"/>
              <w:spacing w:after="0"/>
              <w:rPr>
                <w:sz w:val="20"/>
                <w:szCs w:val="20"/>
                <w:color w:val="auto"/>
              </w:rPr>
            </w:pPr>
            <w:r>
              <w:rPr>
                <w:rFonts w:ascii="Arial" w:cs="Arial" w:eastAsia="Arial" w:hAnsi="Arial"/>
                <w:sz w:val="12"/>
                <w:szCs w:val="12"/>
                <w:color w:val="auto"/>
              </w:rPr>
              <w:t>Kaplan corporate and other</w:t>
            </w: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10,624</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Borders>
              <w:bottom w:val="single" w:sz="8" w:color="auto"/>
            </w:tcBorders>
          </w:tcPr>
          <w:p>
            <w:pPr>
              <w:jc w:val="right"/>
              <w:ind w:right="162"/>
              <w:spacing w:after="0" w:line="117" w:lineRule="exact"/>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62"/>
              <w:spacing w:after="0" w:line="117" w:lineRule="exact"/>
              <w:rPr>
                <w:sz w:val="20"/>
                <w:szCs w:val="20"/>
                <w:color w:val="auto"/>
              </w:rPr>
            </w:pPr>
            <w:r>
              <w:rPr>
                <w:rFonts w:ascii="Arial" w:cs="Arial" w:eastAsia="Arial" w:hAnsi="Arial"/>
                <w:sz w:val="12"/>
                <w:szCs w:val="12"/>
                <w:b w:val="1"/>
                <w:bCs w:val="1"/>
                <w:color w:val="auto"/>
                <w:w w:val="97"/>
              </w:rPr>
              <w:t>1,829,263</w:t>
            </w:r>
          </w:p>
        </w:tc>
        <w:tc>
          <w:tcPr>
            <w:tcW w:w="460" w:type="dxa"/>
            <w:vAlign w:val="bottom"/>
            <w:tcBorders>
              <w:bottom w:val="single" w:sz="8" w:color="auto"/>
            </w:tcBorders>
          </w:tcPr>
          <w:p>
            <w:pPr>
              <w:jc w:val="center"/>
              <w:ind w:right="302"/>
              <w:spacing w:after="0" w:line="117" w:lineRule="exact"/>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gridSpan w:val="2"/>
          </w:tcPr>
          <w:p>
            <w:pPr>
              <w:jc w:val="right"/>
              <w:spacing w:after="0" w:line="11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375"/>
        </w:trPr>
        <w:tc>
          <w:tcPr>
            <w:tcW w:w="5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80" w:type="dxa"/>
            <w:vAlign w:val="bottom"/>
            <w:tcBorders>
              <w:bottom w:val="single" w:sz="8" w:color="808080"/>
            </w:tcBorders>
          </w:tcPr>
          <w:p>
            <w:pPr>
              <w:spacing w:after="0"/>
              <w:rPr>
                <w:sz w:val="11"/>
                <w:szCs w:val="11"/>
                <w:color w:val="auto"/>
              </w:rPr>
            </w:pPr>
          </w:p>
        </w:tc>
        <w:tc>
          <w:tcPr>
            <w:tcW w:w="55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98" w:right="139" w:bottom="1440" w:gutter="0" w:footer="0" w:header="0"/>
        </w:sectPr>
      </w:pPr>
    </w:p>
    <w:bookmarkStart w:id="16" w:name="page17"/>
    <w:bookmarkEnd w:id="16"/>
    <w:p>
      <w:pPr>
        <w:spacing w:after="0"/>
        <w:tabs>
          <w:tab w:leader="none" w:pos="8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Results of Operations and Financial Condition</w:t>
      </w:r>
    </w:p>
    <w:p>
      <w:pPr>
        <w:spacing w:after="0" w:line="172" w:lineRule="exact"/>
        <w:rPr>
          <w:sz w:val="20"/>
          <w:szCs w:val="20"/>
          <w:color w:val="auto"/>
        </w:rPr>
      </w:pPr>
    </w:p>
    <w:p>
      <w:pPr>
        <w:ind w:right="2180"/>
        <w:spacing w:after="0" w:line="457" w:lineRule="auto"/>
        <w:rPr>
          <w:sz w:val="20"/>
          <w:szCs w:val="20"/>
          <w:color w:val="auto"/>
        </w:rPr>
      </w:pPr>
      <w:r>
        <w:rPr>
          <w:rFonts w:ascii="Arial" w:cs="Arial" w:eastAsia="Arial" w:hAnsi="Arial"/>
          <w:sz w:val="17"/>
          <w:szCs w:val="17"/>
          <w:color w:val="auto"/>
        </w:rPr>
        <w:t xml:space="preserve">This analysis should be read in conjunction with the condensed consolidated financial statements and the notes thereto. </w:t>
      </w:r>
      <w:r>
        <w:rPr>
          <w:rFonts w:ascii="Arial" w:cs="Arial" w:eastAsia="Arial" w:hAnsi="Arial"/>
          <w:sz w:val="17"/>
          <w:szCs w:val="17"/>
          <w:b w:val="1"/>
          <w:bCs w:val="1"/>
          <w:i w:val="1"/>
          <w:iCs w:val="1"/>
          <w:color w:val="auto"/>
        </w:rPr>
        <w:t>Results of Operations</w:t>
      </w:r>
    </w:p>
    <w:p>
      <w:pPr>
        <w:spacing w:after="0" w:line="231" w:lineRule="auto"/>
        <w:rPr>
          <w:sz w:val="20"/>
          <w:szCs w:val="20"/>
          <w:color w:val="auto"/>
        </w:rPr>
      </w:pPr>
      <w:r>
        <w:rPr>
          <w:rFonts w:ascii="Arial" w:cs="Arial" w:eastAsia="Arial" w:hAnsi="Arial"/>
          <w:sz w:val="17"/>
          <w:szCs w:val="17"/>
          <w:color w:val="auto"/>
        </w:rPr>
        <w:t>The Company reported net income attributable to common shares of $51.8 million ($6.84 per share) for the second quarter ended June 30, 2012, com to $45.6 million ($5.74 per share) for the second quarter of last year. Net income includes $17.8 million in income from discontinued operations ($2.36 share) and $2.0 million ($0.26 per share) in losses from discontinued operations for the second quarter of 2012 and 2011, respectively. Income from continuing operations attributable to common shares was $34.0 million ($4.48 per share) for the second quarter of 2012, compared to $47.6 million ($ per share) for the second quarter of 2011.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second quarter of 2012:</w:t>
      </w:r>
    </w:p>
    <w:p>
      <w:pPr>
        <w:spacing w:after="0" w:line="127" w:lineRule="exact"/>
        <w:rPr>
          <w:sz w:val="20"/>
          <w:szCs w:val="20"/>
          <w:color w:val="auto"/>
        </w:rPr>
      </w:pPr>
    </w:p>
    <w:p>
      <w:pPr>
        <w:ind w:left="300" w:hanging="155"/>
        <w:spacing w:after="0" w:line="246" w:lineRule="auto"/>
        <w:tabs>
          <w:tab w:leader="none" w:pos="257" w:val="left"/>
        </w:tabs>
        <w:numPr>
          <w:ilvl w:val="0"/>
          <w:numId w:val="6"/>
        </w:numPr>
        <w:rPr>
          <w:rFonts w:ascii="Arial" w:cs="Arial" w:eastAsia="Arial" w:hAnsi="Arial"/>
          <w:sz w:val="17"/>
          <w:szCs w:val="17"/>
          <w:color w:val="auto"/>
        </w:rPr>
      </w:pPr>
      <w:r>
        <w:rPr>
          <w:rFonts w:ascii="Arial" w:cs="Arial" w:eastAsia="Arial" w:hAnsi="Arial"/>
          <w:sz w:val="17"/>
          <w:szCs w:val="17"/>
          <w:color w:val="auto"/>
        </w:rPr>
        <w:t>$8.4 million in severance, early retirement and restructuring charges at Kaplan and the newspaper publishing division (after-tax impact of $5.2 milli $0.69 per share); and</w:t>
      </w:r>
    </w:p>
    <w:p>
      <w:pPr>
        <w:spacing w:after="0" w:line="120" w:lineRule="exact"/>
        <w:rPr>
          <w:rFonts w:ascii="Arial" w:cs="Arial" w:eastAsia="Arial" w:hAnsi="Arial"/>
          <w:sz w:val="17"/>
          <w:szCs w:val="17"/>
          <w:color w:val="auto"/>
        </w:rPr>
      </w:pPr>
    </w:p>
    <w:p>
      <w:pPr>
        <w:ind w:left="260" w:hanging="120"/>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$2.6 million in non-operating unrealized foreign currency losses (after-tax impact of $1.6 million, or $0.21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second quarter of 2011:</w:t>
      </w:r>
    </w:p>
    <w:p>
      <w:pPr>
        <w:spacing w:after="0" w:line="115" w:lineRule="exact"/>
        <w:rPr>
          <w:sz w:val="20"/>
          <w:szCs w:val="20"/>
          <w:color w:val="auto"/>
        </w:rPr>
      </w:pPr>
    </w:p>
    <w:p>
      <w:pPr>
        <w:ind w:left="260" w:hanging="115"/>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$11.7 million in severance and restructuring charges at Kaplan (after-tax impact of $7.3 million, or $0.91 per share); and</w:t>
      </w:r>
    </w:p>
    <w:p>
      <w:pPr>
        <w:spacing w:after="0" w:line="139" w:lineRule="exact"/>
        <w:rPr>
          <w:rFonts w:ascii="Arial" w:cs="Arial" w:eastAsia="Arial" w:hAnsi="Arial"/>
          <w:sz w:val="17"/>
          <w:szCs w:val="17"/>
          <w:color w:val="auto"/>
        </w:rPr>
      </w:pPr>
    </w:p>
    <w:p>
      <w:pPr>
        <w:ind w:left="260" w:hanging="120"/>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$0.3 million in non-operating unrealized foreign currency gains (after-tax impact of $0.2 million, or $0.03 per share).</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Revenue for the second quarter of 2012 was $1,006.9 million, down 5% from $1,061.3 million in the second quarter of 2011. The Company reported operating income of $60.4 million in the second quarter of 2012, compared to operating income of $82.1 million in the second quarter of 2011. Revenu were down at the education and newspaper publishing divisions, offset by increases at the television broadcasting and cable television divisions. Oper results were down at all of the Company’s divisions, except for the television broadcasting division.</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For the first six months of 2012, the Company reported net income attributable to common shares of $82.9 million ($ 10.87 per share), compared to $6 million ($7.57 per share) for the same period of 2011. Net income includes $38.1 million ($5.02 per share) in income from discontinued operations and million ($0.59 per share) in losses from discontinued operations for the first six months of 2012 and 2011, respectively. Income from continuing operati attributable to common shares was $44.8 million ($5.85 per share) for the first six months of 2012, compared to $65.5 million ($8.16 per share) for the six months of 2011. As a result of the Company’s share repurchases, there were 6% fewer diluted average shares outstanding in the first six months o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six months of 2012:</w:t>
      </w:r>
    </w:p>
    <w:p>
      <w:pPr>
        <w:spacing w:after="0" w:line="177" w:lineRule="exact"/>
        <w:rPr>
          <w:sz w:val="20"/>
          <w:szCs w:val="20"/>
          <w:color w:val="auto"/>
        </w:rPr>
      </w:pPr>
    </w:p>
    <w:p>
      <w:pPr>
        <w:ind w:left="300" w:hanging="155"/>
        <w:spacing w:after="0" w:line="246" w:lineRule="auto"/>
        <w:tabs>
          <w:tab w:leader="none" w:pos="257" w:val="left"/>
        </w:tabs>
        <w:numPr>
          <w:ilvl w:val="0"/>
          <w:numId w:val="8"/>
        </w:numPr>
        <w:rPr>
          <w:rFonts w:ascii="Arial" w:cs="Arial" w:eastAsia="Arial" w:hAnsi="Arial"/>
          <w:sz w:val="17"/>
          <w:szCs w:val="17"/>
          <w:color w:val="auto"/>
        </w:rPr>
      </w:pPr>
      <w:r>
        <w:rPr>
          <w:rFonts w:ascii="Arial" w:cs="Arial" w:eastAsia="Arial" w:hAnsi="Arial"/>
          <w:sz w:val="17"/>
          <w:szCs w:val="17"/>
          <w:color w:val="auto"/>
        </w:rPr>
        <w:t>$10.2 million in severance, early retirement and restructuring charges at Kaplan and the newspaper publishing division (after-tax impact of $6.4 mi or $0.84 per share); and</w:t>
      </w:r>
    </w:p>
    <w:p>
      <w:pPr>
        <w:spacing w:after="0" w:line="120" w:lineRule="exact"/>
        <w:rPr>
          <w:rFonts w:ascii="Arial" w:cs="Arial" w:eastAsia="Arial" w:hAnsi="Arial"/>
          <w:sz w:val="17"/>
          <w:szCs w:val="17"/>
          <w:color w:val="auto"/>
        </w:rPr>
      </w:pPr>
    </w:p>
    <w:p>
      <w:pPr>
        <w:ind w:left="260" w:hanging="115"/>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$5.8 million gain on sales of cost method investments (after-tax impact of $3.7 million, or $0.48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six months of 2011:</w:t>
      </w:r>
    </w:p>
    <w:p>
      <w:pPr>
        <w:spacing w:after="0" w:line="177" w:lineRule="exact"/>
        <w:rPr>
          <w:sz w:val="20"/>
          <w:szCs w:val="20"/>
          <w:color w:val="auto"/>
        </w:rPr>
      </w:pPr>
    </w:p>
    <w:p>
      <w:pPr>
        <w:ind w:left="260" w:hanging="115"/>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$14.0 million in severance and restructuring charges at Kaplan (after-tax impact of $8.7 million, or $1.09 per share);</w:t>
      </w:r>
    </w:p>
    <w:p>
      <w:pPr>
        <w:spacing w:after="0" w:line="127" w:lineRule="exact"/>
        <w:rPr>
          <w:rFonts w:ascii="Arial" w:cs="Arial" w:eastAsia="Arial" w:hAnsi="Arial"/>
          <w:sz w:val="17"/>
          <w:szCs w:val="17"/>
          <w:color w:val="auto"/>
        </w:rPr>
      </w:pPr>
    </w:p>
    <w:p>
      <w:pPr>
        <w:ind w:left="260" w:hanging="120"/>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$30.7 million write-down of a marketable equity security (after-tax impact of $19.8 million, or $2.44 per share); and</w:t>
      </w:r>
    </w:p>
    <w:p>
      <w:pPr>
        <w:spacing w:after="0" w:line="189" w:lineRule="exact"/>
        <w:rPr>
          <w:rFonts w:ascii="Arial" w:cs="Arial" w:eastAsia="Arial" w:hAnsi="Arial"/>
          <w:sz w:val="17"/>
          <w:szCs w:val="17"/>
          <w:color w:val="auto"/>
        </w:rPr>
      </w:pPr>
    </w:p>
    <w:p>
      <w:pPr>
        <w:ind w:left="260" w:hanging="120"/>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$3.0 million in non-operating unrealized foreign currency gains (after-tax impact of $1.9 million, or $0.24 per share).</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for the first six months of 2012 was $1,979.4 million, down 6% from $2,103.2 million in the first six months of 2011. Revenues were down at education and newspaper publishing divisions, while revenues were up at the television broadcasting and cable television divisions. The Company rep operating income of $77.8 million for the first six months of 2012, compared to $138.7 million for the first six months of 2011. Operating results were d all of the Company’s divisions, except for the television broadcasting division.</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Education division revenue totaled $558.4 million for the second quarter of 2012, a 9% decline from revenue of $617.0 million for the second quarter o 2011. Excluding revenue from acquired businesses, education division revenue declined 11% in the second quarter of 2012. Kaplan reported second quarter 2012 operating income of $3.4 million, down from $21.5 million in the second quarter of 2011.</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first six months of 2012, education division revenue totaled $1,111.8 million, a 10% decline from revenue of $ 1,235.9 million for the same perio 2011. Excluding revenue from acquired businesses, education division revenue declined 12% for the first six months of 2012. Kaplan reported an ope loss of $9.8 million for the first six months of 2012, compared to operating income of $41.5 million for the first six months of 2011.</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light of recent revenue declines and other business challenges, Kaplan has formulated and implemented restructuring plans at its various businesse have resulted in significant costs in 2012 and 2011, with the objective of establishing lower costs levels in future periods. Across all businesses, sever and restructuring costs totaled $5.0 million in the second quarter and first half of 2012, compared to $11.7 million and $14.0 million in the second quar and first six months of 2011, respectively. Kaplan will likely incur additional restructuring costs in the second half of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operating results for the second quarter and the first six months of 2012 compared to 2011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2"/>
                <w:szCs w:val="12"/>
                <w:b w:val="1"/>
                <w:bCs w:val="1"/>
                <w:color w:val="auto"/>
              </w:rPr>
              <w:t>Three Months Ended</w:t>
            </w:r>
          </w:p>
        </w:tc>
        <w:tc>
          <w:tcPr>
            <w:tcW w:w="1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2"/>
                <w:szCs w:val="12"/>
                <w:b w:val="1"/>
                <w:bCs w:val="1"/>
                <w:color w:val="auto"/>
              </w:rPr>
              <w:t>Six Months Ended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jc w:val="right"/>
              <w:ind w:right="488"/>
              <w:spacing w:after="0" w:line="114" w:lineRule="exact"/>
              <w:rPr>
                <w:sz w:val="20"/>
                <w:szCs w:val="20"/>
                <w:color w:val="auto"/>
              </w:rPr>
            </w:pPr>
            <w:r>
              <w:rPr>
                <w:rFonts w:ascii="Arial" w:cs="Arial" w:eastAsia="Arial" w:hAnsi="Arial"/>
                <w:sz w:val="12"/>
                <w:szCs w:val="12"/>
                <w:b w:val="1"/>
                <w:bCs w:val="1"/>
                <w:color w:val="auto"/>
              </w:rPr>
              <w:t>June 30,</w:t>
            </w:r>
          </w:p>
        </w:tc>
        <w:tc>
          <w:tcPr>
            <w:tcW w:w="440" w:type="dxa"/>
            <w:vAlign w:val="bottom"/>
          </w:tcPr>
          <w:p>
            <w:pPr>
              <w:spacing w:after="0"/>
              <w:rPr>
                <w:sz w:val="9"/>
                <w:szCs w:val="9"/>
                <w:color w:val="auto"/>
              </w:rPr>
            </w:pPr>
          </w:p>
        </w:tc>
        <w:tc>
          <w:tcPr>
            <w:tcW w:w="1020" w:type="dxa"/>
            <w:vAlign w:val="bottom"/>
          </w:tcPr>
          <w:p>
            <w:pPr>
              <w:jc w:val="right"/>
              <w:ind w:right="447"/>
              <w:spacing w:after="0" w:line="114" w:lineRule="exact"/>
              <w:rPr>
                <w:sz w:val="20"/>
                <w:szCs w:val="20"/>
                <w:color w:val="auto"/>
              </w:rPr>
            </w:pPr>
            <w:r>
              <w:rPr>
                <w:rFonts w:ascii="Arial" w:cs="Arial" w:eastAsia="Arial" w:hAnsi="Arial"/>
                <w:sz w:val="12"/>
                <w:szCs w:val="12"/>
                <w:color w:val="auto"/>
              </w:rPr>
              <w:t>July 3,</w:t>
            </w: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jc w:val="right"/>
              <w:ind w:right="408"/>
              <w:spacing w:after="0" w:line="114" w:lineRule="exact"/>
              <w:rPr>
                <w:sz w:val="20"/>
                <w:szCs w:val="20"/>
                <w:color w:val="auto"/>
              </w:rPr>
            </w:pPr>
            <w:r>
              <w:rPr>
                <w:rFonts w:ascii="Arial" w:cs="Arial" w:eastAsia="Arial" w:hAnsi="Arial"/>
                <w:sz w:val="12"/>
                <w:szCs w:val="12"/>
                <w:b w:val="1"/>
                <w:bCs w:val="1"/>
                <w:color w:val="auto"/>
              </w:rPr>
              <w:t>June 30,</w:t>
            </w:r>
          </w:p>
        </w:tc>
        <w:tc>
          <w:tcPr>
            <w:tcW w:w="340" w:type="dxa"/>
            <w:vAlign w:val="bottom"/>
          </w:tcPr>
          <w:p>
            <w:pPr>
              <w:spacing w:after="0"/>
              <w:rPr>
                <w:sz w:val="9"/>
                <w:szCs w:val="9"/>
                <w:color w:val="auto"/>
              </w:rPr>
            </w:pPr>
          </w:p>
        </w:tc>
        <w:tc>
          <w:tcPr>
            <w:tcW w:w="900" w:type="dxa"/>
            <w:vAlign w:val="bottom"/>
          </w:tcPr>
          <w:p>
            <w:pPr>
              <w:jc w:val="right"/>
              <w:ind w:right="367"/>
              <w:spacing w:after="0" w:line="114" w:lineRule="exact"/>
              <w:rPr>
                <w:sz w:val="20"/>
                <w:szCs w:val="20"/>
                <w:color w:val="auto"/>
              </w:rPr>
            </w:pPr>
            <w:r>
              <w:rPr>
                <w:rFonts w:ascii="Arial" w:cs="Arial" w:eastAsia="Arial" w:hAnsi="Arial"/>
                <w:sz w:val="12"/>
                <w:szCs w:val="12"/>
                <w:color w:val="auto"/>
              </w:rPr>
              <w:t>July 3,</w:t>
            </w: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color w:val="auto"/>
              </w:rPr>
              <w:t>2011</w:t>
            </w: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color w:val="auto"/>
              </w:rPr>
              <w:t>% Change</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290,861</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599,245</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358,312</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(19)</w:t>
            </w:r>
          </w:p>
        </w:tc>
        <w:tc>
          <w:tcPr>
            <w:tcW w:w="3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5"/>
                <w:szCs w:val="15"/>
                <w:color w:val="auto"/>
              </w:rPr>
              <w:t>745,195</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79,786</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83,197</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142,615</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156,562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181,656</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169,016</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7</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358,041</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321,151</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6,203</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6,591</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(6)</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12,324</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13,806</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1,003</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1,065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(6)</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2,160</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2,182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(1,105)</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(2,580)</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558,404</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616,962</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(9)</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1,111,805</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1,235,891</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80" w:type="dxa"/>
            <w:vAlign w:val="bottom"/>
            <w:vMerge w:val="continue"/>
          </w:tcPr>
          <w:p>
            <w:pPr>
              <w:spacing w:after="0"/>
              <w:rPr>
                <w:sz w:val="13"/>
                <w:szCs w:val="13"/>
                <w:color w:val="auto"/>
              </w:rPr>
            </w:pPr>
          </w:p>
        </w:tc>
        <w:tc>
          <w:tcPr>
            <w:tcW w:w="3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5,858</w:t>
            </w: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14,812</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45,157</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(87)</w:t>
            </w:r>
          </w:p>
        </w:tc>
        <w:tc>
          <w:tcPr>
            <w:tcW w:w="3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5"/>
                <w:szCs w:val="15"/>
                <w:color w:val="auto"/>
              </w:rPr>
              <w:t>95,807</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2,706</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(11,597)</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(7,513)</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(24,273)</w:t>
            </w:r>
          </w:p>
        </w:tc>
        <w:tc>
          <w:tcPr>
            <w:tcW w:w="5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9,294</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8,642</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8</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12,717</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7,960</w:t>
            </w:r>
          </w:p>
        </w:tc>
        <w:tc>
          <w:tcPr>
            <w:tcW w:w="5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ventures</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(369)</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(2,079)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82</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(1,630)</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(3,053)</w:t>
            </w: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(10,489)</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(13,624)</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23</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(21,525)</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(25,242)</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5"/>
                <w:szCs w:val="15"/>
                <w:b w:val="1"/>
                <w:bCs w:val="1"/>
                <w:color w:val="auto"/>
              </w:rPr>
              <w:t>(3,810)</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(5,049)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25</w:t>
            </w:r>
          </w:p>
        </w:tc>
        <w:tc>
          <w:tcPr>
            <w:tcW w:w="3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5"/>
                <w:szCs w:val="15"/>
                <w:b w:val="1"/>
                <w:bCs w:val="1"/>
                <w:color w:val="auto"/>
              </w:rPr>
              <w:t>(7,053)</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(9,469)</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161</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355</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3,351</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21,468</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(84)</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(9,837)</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41,517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sold Kaplan Learning Technologies in February 2012 and EduNeering in April 2012. Consequently, the education division’s operating results e these businesses. Also, Kaplan’s Colloquy and U.S. Pathways business moved from Kaplan Ventures to Kaplan International. The comparative divisio results presented above reflect this change.</w:t>
      </w:r>
    </w:p>
    <w:p>
      <w:pPr>
        <w:spacing w:after="0" w:line="188"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 In the second quarter and first six months of 2012, higher education revenue declined 19% and 20%, respectively, due largely to declines in average enrollments, reflecting weaker market demand over the past year. Operating income decreased 87% and 85% for the second quarter and first six months of 2012, respectively. These declines were due primarily to lower revenue, offset by expense reductions associated with lower enrollments and recent restructu efforts. In the second quarter of 2012, KHE incurred $3.8 million in severance costs, compared to $5.5 million in the second quarter of 2011. KHE will l incur additional restructuring costs in the second half of 2012.</w:t>
      </w:r>
    </w:p>
    <w:p>
      <w:pPr>
        <w:spacing w:after="0" w:line="17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18" w:name="page19"/>
    <w:bookmarkEnd w:id="18"/>
    <w:p>
      <w:pPr>
        <w:jc w:val="both"/>
        <w:spacing w:after="0" w:line="228" w:lineRule="auto"/>
        <w:rPr>
          <w:sz w:val="20"/>
          <w:szCs w:val="20"/>
          <w:color w:val="auto"/>
        </w:rPr>
      </w:pPr>
      <w:r>
        <w:rPr>
          <w:rFonts w:ascii="Arial" w:cs="Arial" w:eastAsia="Arial" w:hAnsi="Arial"/>
          <w:sz w:val="17"/>
          <w:szCs w:val="17"/>
          <w:color w:val="auto"/>
        </w:rPr>
        <w:t>Although revenues were down substantially compared to the first half of 2011, new student enrollments at Kaplan University and KHE Campuses incr 3% in the first half of 2012. For the second quarter of 2012, new student enrollments declined 1%. Total enrollments at June 30, 2012, were down 14% compared to June 30, 2011, and 11% compared to March 31, 2012.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rPr>
              <w:t>Student Enrollments As of</w:t>
            </w:r>
          </w:p>
        </w:tc>
        <w:tc>
          <w:tcPr>
            <w:tcW w:w="620" w:type="dxa"/>
            <w:vAlign w:val="bottom"/>
            <w:tcBorders>
              <w:bottom w:val="single" w:sz="8" w:color="auto"/>
            </w:tcBorders>
          </w:tcPr>
          <w:p>
            <w:pPr>
              <w:spacing w:after="0"/>
              <w:rPr>
                <w:sz w:val="12"/>
                <w:szCs w:val="12"/>
                <w:color w:val="auto"/>
              </w:rPr>
            </w:pPr>
          </w:p>
        </w:tc>
      </w:tr>
      <w:tr>
        <w:trPr>
          <w:trHeight w:val="114"/>
        </w:trPr>
        <w:tc>
          <w:tcPr>
            <w:tcW w:w="7200" w:type="dxa"/>
            <w:vAlign w:val="bottom"/>
          </w:tcPr>
          <w:p>
            <w:pPr>
              <w:spacing w:after="0"/>
              <w:rPr>
                <w:sz w:val="9"/>
                <w:szCs w:val="9"/>
                <w:color w:val="auto"/>
              </w:rPr>
            </w:pPr>
          </w:p>
        </w:tc>
        <w:tc>
          <w:tcPr>
            <w:tcW w:w="1280" w:type="dxa"/>
            <w:vAlign w:val="bottom"/>
          </w:tcPr>
          <w:p>
            <w:pPr>
              <w:jc w:val="right"/>
              <w:ind w:right="331"/>
              <w:spacing w:after="0" w:line="114" w:lineRule="exact"/>
              <w:rPr>
                <w:sz w:val="20"/>
                <w:szCs w:val="20"/>
                <w:color w:val="auto"/>
              </w:rPr>
            </w:pPr>
            <w:r>
              <w:rPr>
                <w:rFonts w:ascii="Arial" w:cs="Arial" w:eastAsia="Arial" w:hAnsi="Arial"/>
                <w:sz w:val="12"/>
                <w:szCs w:val="12"/>
                <w:b w:val="1"/>
                <w:bCs w:val="1"/>
                <w:color w:val="auto"/>
              </w:rPr>
              <w:t>June 30,</w:t>
            </w:r>
          </w:p>
        </w:tc>
        <w:tc>
          <w:tcPr>
            <w:tcW w:w="1840" w:type="dxa"/>
            <w:vAlign w:val="bottom"/>
          </w:tcPr>
          <w:p>
            <w:pPr>
              <w:jc w:val="center"/>
              <w:ind w:right="92"/>
              <w:spacing w:after="0" w:line="114" w:lineRule="exact"/>
              <w:rPr>
                <w:sz w:val="20"/>
                <w:szCs w:val="20"/>
                <w:color w:val="auto"/>
              </w:rPr>
            </w:pPr>
            <w:r>
              <w:rPr>
                <w:rFonts w:ascii="Arial" w:cs="Arial" w:eastAsia="Arial" w:hAnsi="Arial"/>
                <w:sz w:val="12"/>
                <w:szCs w:val="12"/>
                <w:color w:val="auto"/>
              </w:rPr>
              <w:t>March 31,</w:t>
            </w:r>
          </w:p>
        </w:tc>
        <w:tc>
          <w:tcPr>
            <w:tcW w:w="620" w:type="dxa"/>
            <w:vAlign w:val="bottom"/>
          </w:tcPr>
          <w:p>
            <w:pPr>
              <w:jc w:val="right"/>
              <w:spacing w:after="0" w:line="114" w:lineRule="exact"/>
              <w:rPr>
                <w:sz w:val="20"/>
                <w:szCs w:val="20"/>
                <w:color w:val="auto"/>
              </w:rPr>
            </w:pPr>
            <w:r>
              <w:rPr>
                <w:rFonts w:ascii="Arial" w:cs="Arial" w:eastAsia="Arial" w:hAnsi="Arial"/>
                <w:sz w:val="12"/>
                <w:szCs w:val="12"/>
                <w:color w:val="auto"/>
              </w:rPr>
              <w:t>June 3</w:t>
            </w:r>
          </w:p>
        </w:tc>
      </w:tr>
      <w:tr>
        <w:trPr>
          <w:trHeight w:val="151"/>
        </w:trPr>
        <w:tc>
          <w:tcPr>
            <w:tcW w:w="7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2"/>
                <w:szCs w:val="12"/>
                <w:b w:val="1"/>
                <w:bCs w:val="1"/>
                <w:color w:val="auto"/>
              </w:rPr>
              <w:t>2012</w:t>
            </w:r>
          </w:p>
        </w:tc>
        <w:tc>
          <w:tcPr>
            <w:tcW w:w="184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color w:val="auto"/>
              </w:rPr>
              <w:t>2012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2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44,756</w:t>
            </w:r>
          </w:p>
        </w:tc>
        <w:tc>
          <w:tcPr>
            <w:tcW w:w="1840" w:type="dxa"/>
            <w:vAlign w:val="bottom"/>
          </w:tcPr>
          <w:p>
            <w:pPr>
              <w:jc w:val="right"/>
              <w:ind w:right="352"/>
              <w:spacing w:after="0" w:line="150" w:lineRule="exact"/>
              <w:rPr>
                <w:sz w:val="20"/>
                <w:szCs w:val="20"/>
                <w:color w:val="auto"/>
              </w:rPr>
            </w:pPr>
            <w:r>
              <w:rPr>
                <w:rFonts w:ascii="Arial" w:cs="Arial" w:eastAsia="Arial" w:hAnsi="Arial"/>
                <w:sz w:val="15"/>
                <w:szCs w:val="15"/>
                <w:color w:val="auto"/>
              </w:rPr>
              <w:t>49,481</w:t>
            </w:r>
          </w:p>
        </w:tc>
        <w:tc>
          <w:tcPr>
            <w:tcW w:w="62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22,849</w:t>
            </w:r>
          </w:p>
        </w:tc>
        <w:tc>
          <w:tcPr>
            <w:tcW w:w="184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color w:val="auto"/>
              </w:rPr>
              <w:t>26,503</w:t>
            </w:r>
          </w:p>
        </w:tc>
        <w:tc>
          <w:tcPr>
            <w:tcW w:w="62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67,605</w:t>
            </w:r>
          </w:p>
        </w:tc>
        <w:tc>
          <w:tcPr>
            <w:tcW w:w="1840" w:type="dxa"/>
            <w:vAlign w:val="bottom"/>
            <w:tcBorders>
              <w:bottom w:val="single" w:sz="8" w:color="auto"/>
            </w:tcBorders>
          </w:tcPr>
          <w:p>
            <w:pPr>
              <w:jc w:val="right"/>
              <w:ind w:right="352"/>
              <w:spacing w:after="0" w:line="167" w:lineRule="exact"/>
              <w:rPr>
                <w:sz w:val="20"/>
                <w:szCs w:val="20"/>
                <w:color w:val="auto"/>
              </w:rPr>
            </w:pPr>
            <w:r>
              <w:rPr>
                <w:rFonts w:ascii="Arial" w:cs="Arial" w:eastAsia="Arial" w:hAnsi="Arial"/>
                <w:sz w:val="15"/>
                <w:szCs w:val="15"/>
                <w:color w:val="auto"/>
              </w:rPr>
              <w:t>75,984</w:t>
            </w:r>
          </w:p>
        </w:tc>
        <w:tc>
          <w:tcPr>
            <w:tcW w:w="62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Kaplan University enrollments included 5,681, 5,979 and 5,837 campus-based students as of June 30, 2012, March 31, 2012, and June 30,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June 30, 2012, and June 30, 2011, by degree and certificate programs, are as follows:</w:t>
      </w:r>
    </w:p>
    <w:tbl>
      <w:tblPr>
        <w:tblLayout w:type="fixed"/>
        <w:tblInd w:w="0" w:type="dxa"/>
        <w:tblCellMar>
          <w:top w:w="0" w:type="dxa"/>
          <w:left w:w="0" w:type="dxa"/>
          <w:bottom w:w="0" w:type="dxa"/>
          <w:right w:w="0" w:type="dxa"/>
        </w:tblCellMar>
      </w:tblPr>
      <w:tr>
        <w:trPr>
          <w:trHeight w:val="137"/>
        </w:trPr>
        <w:tc>
          <w:tcPr>
            <w:tcW w:w="8460" w:type="dxa"/>
            <w:vAlign w:val="bottom"/>
          </w:tcPr>
          <w:p>
            <w:pPr>
              <w:spacing w:after="0"/>
              <w:rPr>
                <w:sz w:val="11"/>
                <w:szCs w:val="11"/>
                <w:color w:val="auto"/>
              </w:rPr>
            </w:pPr>
          </w:p>
        </w:tc>
        <w:tc>
          <w:tcPr>
            <w:tcW w:w="2080" w:type="dxa"/>
            <w:vAlign w:val="bottom"/>
            <w:tcBorders>
              <w:bottom w:val="single" w:sz="8" w:color="auto"/>
            </w:tcBorders>
          </w:tcPr>
          <w:p>
            <w:pPr>
              <w:jc w:val="right"/>
              <w:ind w:right="109"/>
              <w:spacing w:after="0"/>
              <w:rPr>
                <w:sz w:val="20"/>
                <w:szCs w:val="20"/>
                <w:color w:val="auto"/>
              </w:rPr>
            </w:pPr>
            <w:r>
              <w:rPr>
                <w:rFonts w:ascii="Arial" w:cs="Arial" w:eastAsia="Arial" w:hAnsi="Arial"/>
                <w:sz w:val="12"/>
                <w:szCs w:val="12"/>
                <w:b w:val="1"/>
                <w:bCs w:val="1"/>
                <w:color w:val="auto"/>
              </w:rPr>
              <w:t>As of June 30,</w:t>
            </w:r>
          </w:p>
        </w:tc>
        <w:tc>
          <w:tcPr>
            <w:tcW w:w="400" w:type="dxa"/>
            <w:vAlign w:val="bottom"/>
            <w:tcBorders>
              <w:bottom w:val="single" w:sz="8" w:color="auto"/>
            </w:tcBorders>
          </w:tcPr>
          <w:p>
            <w:pPr>
              <w:spacing w:after="0"/>
              <w:rPr>
                <w:sz w:val="11"/>
                <w:szCs w:val="11"/>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right"/>
              <w:ind w:right="1249"/>
              <w:spacing w:after="0" w:line="129" w:lineRule="exact"/>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080" w:type="dxa"/>
            <w:vAlign w:val="bottom"/>
          </w:tcPr>
          <w:p>
            <w:pPr>
              <w:jc w:val="right"/>
              <w:ind w:right="849"/>
              <w:spacing w:after="0" w:line="150" w:lineRule="exact"/>
              <w:rPr>
                <w:sz w:val="20"/>
                <w:szCs w:val="20"/>
                <w:color w:val="auto"/>
              </w:rPr>
            </w:pPr>
            <w:r>
              <w:rPr>
                <w:rFonts w:ascii="Arial" w:cs="Arial" w:eastAsia="Arial" w:hAnsi="Arial"/>
                <w:sz w:val="15"/>
                <w:szCs w:val="15"/>
                <w:b w:val="1"/>
                <w:bCs w:val="1"/>
                <w:color w:val="auto"/>
              </w:rPr>
              <w:t>24.8 %</w:t>
            </w: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Associate’s</w:t>
            </w: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28.7 %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Bachelor’s</w:t>
            </w: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33.7 %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Master’s</w:t>
            </w:r>
          </w:p>
        </w:tc>
        <w:tc>
          <w:tcPr>
            <w:tcW w:w="2080" w:type="dxa"/>
            <w:vAlign w:val="bottom"/>
            <w:tcBorders>
              <w:bottom w:val="single" w:sz="8" w:color="auto"/>
            </w:tcBorders>
          </w:tcPr>
          <w:p>
            <w:pPr>
              <w:jc w:val="right"/>
              <w:ind w:right="849"/>
              <w:spacing w:after="0"/>
              <w:rPr>
                <w:sz w:val="20"/>
                <w:szCs w:val="20"/>
                <w:color w:val="auto"/>
              </w:rPr>
            </w:pPr>
            <w:r>
              <w:rPr>
                <w:rFonts w:ascii="Arial" w:cs="Arial" w:eastAsia="Arial" w:hAnsi="Arial"/>
                <w:sz w:val="15"/>
                <w:szCs w:val="15"/>
                <w:b w:val="1"/>
                <w:bCs w:val="1"/>
                <w:color w:val="auto"/>
              </w:rPr>
              <w:t>12.8 %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rPr>
                <w:sz w:val="14"/>
                <w:szCs w:val="14"/>
                <w:color w:val="auto"/>
              </w:rPr>
            </w:pPr>
          </w:p>
        </w:tc>
        <w:tc>
          <w:tcPr>
            <w:tcW w:w="2080" w:type="dxa"/>
            <w:vAlign w:val="bottom"/>
            <w:tcBorders>
              <w:bottom w:val="single" w:sz="8" w:color="auto"/>
            </w:tcBorders>
          </w:tcPr>
          <w:p>
            <w:pPr>
              <w:jc w:val="right"/>
              <w:ind w:right="849"/>
              <w:spacing w:after="0" w:line="167" w:lineRule="exact"/>
              <w:rPr>
                <w:sz w:val="20"/>
                <w:szCs w:val="20"/>
                <w:color w:val="auto"/>
              </w:rPr>
            </w:pPr>
            <w:r>
              <w:rPr>
                <w:rFonts w:ascii="Arial" w:cs="Arial" w:eastAsia="Arial" w:hAnsi="Arial"/>
                <w:sz w:val="15"/>
                <w:szCs w:val="15"/>
                <w:b w:val="1"/>
                <w:bCs w:val="1"/>
                <w:color w:val="auto"/>
              </w:rPr>
              <w:t>100.0 %</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4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KHE has implemented a number of marketing and admissions changes to increase student selectivity and help KHE comply with recent regulations. K also implemented the Kaplan Commitment program, which provides first-time students with a risk-free trial period. Under the program, KHE also monit academic progress and conducts academic assessments to help determine whether students are likely to be successful in their chosen course of stud Students who withdraw or are subject to academic dismissal during the risk-free trial period do not incur any significant financial obligation. For those f time students enrolled to date under the Kaplan Commitment, the attrition rate during the risk-free period has been approximately 28%. Management believes the Kaplan Commitment program is unique and reflects Kaplan’s commitment to student success.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Refer to KHE Regulatory Matters below for additional information.</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Kaplan Test preparation (KTP) includes Kaplan’s standardized test preparation and tutoring offerings and other businesses. KTP revenue declined 4% 9% in the second quarter and first six months of 2012, respectively. Enrollment increased 4% and 8% for the second quarter and first six months of 20 respectively, driven by strength in medical and bar review programs. Enrollment increases were offset by competitive pricing pressure and a continued in demand to lower priced online test preparation offerings. Revenues also declined from the prior year as changes in certain programs and the mix of courses resulted in an increase in average course length and related revenue recognition periods. Total sales bookings at KTP during the first half of 2 were down 3% compared to the first half of 2011. The improvement in KTP operating results in the first half of 2012 is largely from lower operating exp due to recent restructuring activities. Also, $6.2 million and $8.5 million in restructuring costs were recorded in the second quarter and first six months 2011, respectively.</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Kaplan International includes professional training and postsecondary education businesses outside the United States and English-language program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 revenue increased 7% and 11% in the second quarter and first six months of 2012, respectively. Excluding revenue from acquired businesses, Kaplan International revenue increased slightly in the second quarter of 2012 and increased 3% in the first six months of 2012 due to enrollment growth in the English-language and Singapore higher education programs. Kaplan International operating income increased in the first half of 2012 due largely to st results in Singapore, offset by combined losses from businesses acquired in 2011. In the second quarter of 2012, Kaplan International results also ben from a favorable net $1.9 million adjustment. This resulted from a favorable expense adjustment to reduce certain items recorded in prior years, offset adjustment to increase liabilities assumed in a 2011 acquisition.</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Most of the businesses previously included in Kaplan Ventures have been sold or moved to other Kaplan divisions. Kaplan Ventures is exploring other alternatives with respect to its remaining businesses, including possible sales.</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Cable television division revenue increased 2% in the second quarter of 2012 to $195.6 million, from $191.2 million for the second quarter of 2011; for first six months of 2012, revenue increased 1% to $385.8 million, from $381.5 million in the same period of 2011. The revenue increase for the first six months of 2012 is due to continued growth of the division’s Internet and telephone service revenues, offset by an increase in promotional discounts a decline in basic video subscribers.</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Cable television division operating income decreased 5% to $38.4 million, from $ 40.4 million in the second quarter of 2011; cable division operating in for the first six months of 2012 decreased 9% to $71.2 million, from $78.1 million for the first six months of 2011. The division’s operating income decli primarily due to increased programming costs.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At June 30, 2012, Primary Service Units (PSUs) were up 1% from the prior year due to growth in high-speed data and telephony subscribers, offset by decrease in basic subscribers. PSUs include about 6,300 subscribers who receive free basic cable service, primarily local governments, schools and o organizations as required by various franchise agreements. A summary of PSUs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As of June 30,</w:t>
            </w:r>
          </w:p>
        </w:tc>
        <w:tc>
          <w:tcPr>
            <w:tcW w:w="380" w:type="dxa"/>
            <w:vAlign w:val="bottom"/>
            <w:tcBorders>
              <w:bottom w:val="single" w:sz="8" w:color="auto"/>
            </w:tcBorders>
          </w:tcPr>
          <w:p>
            <w:pPr>
              <w:spacing w:after="0"/>
              <w:rPr>
                <w:sz w:val="13"/>
                <w:szCs w:val="13"/>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1050"/>
              <w:spacing w:after="0" w:line="129" w:lineRule="exact"/>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2011</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880" w:type="dxa"/>
            <w:vAlign w:val="bottom"/>
          </w:tcPr>
          <w:p>
            <w:pPr>
              <w:jc w:val="right"/>
              <w:ind w:right="590"/>
              <w:spacing w:after="0" w:line="150" w:lineRule="exact"/>
              <w:rPr>
                <w:sz w:val="20"/>
                <w:szCs w:val="20"/>
                <w:color w:val="auto"/>
              </w:rPr>
            </w:pPr>
            <w:r>
              <w:rPr>
                <w:rFonts w:ascii="Arial" w:cs="Arial" w:eastAsia="Arial" w:hAnsi="Arial"/>
                <w:sz w:val="15"/>
                <w:szCs w:val="15"/>
                <w:b w:val="1"/>
                <w:bCs w:val="1"/>
                <w:color w:val="auto"/>
              </w:rPr>
              <w:t>612,729</w:t>
            </w:r>
          </w:p>
        </w:tc>
        <w:tc>
          <w:tcPr>
            <w:tcW w:w="38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High-speed data</w:t>
            </w:r>
          </w:p>
        </w:tc>
        <w:tc>
          <w:tcPr>
            <w:tcW w:w="1880" w:type="dxa"/>
            <w:vAlign w:val="bottom"/>
          </w:tcPr>
          <w:p>
            <w:pPr>
              <w:jc w:val="right"/>
              <w:ind w:right="590"/>
              <w:spacing w:after="0"/>
              <w:rPr>
                <w:sz w:val="20"/>
                <w:szCs w:val="20"/>
                <w:color w:val="auto"/>
              </w:rPr>
            </w:pPr>
            <w:r>
              <w:rPr>
                <w:rFonts w:ascii="Arial" w:cs="Arial" w:eastAsia="Arial" w:hAnsi="Arial"/>
                <w:sz w:val="15"/>
                <w:szCs w:val="15"/>
                <w:b w:val="1"/>
                <w:bCs w:val="1"/>
                <w:color w:val="auto"/>
              </w:rPr>
              <w:t>462,426</w:t>
            </w:r>
          </w:p>
        </w:tc>
        <w:tc>
          <w:tcPr>
            <w:tcW w:w="3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Telephony</w:t>
            </w:r>
          </w:p>
        </w:tc>
        <w:tc>
          <w:tcPr>
            <w:tcW w:w="1880" w:type="dxa"/>
            <w:vAlign w:val="bottom"/>
            <w:tcBorders>
              <w:bottom w:val="single" w:sz="8" w:color="auto"/>
            </w:tcBorders>
          </w:tcPr>
          <w:p>
            <w:pPr>
              <w:jc w:val="right"/>
              <w:ind w:right="590"/>
              <w:spacing w:after="0"/>
              <w:rPr>
                <w:sz w:val="20"/>
                <w:szCs w:val="20"/>
                <w:color w:val="auto"/>
              </w:rPr>
            </w:pPr>
            <w:r>
              <w:rPr>
                <w:rFonts w:ascii="Arial" w:cs="Arial" w:eastAsia="Arial" w:hAnsi="Arial"/>
                <w:sz w:val="15"/>
                <w:szCs w:val="15"/>
                <w:b w:val="1"/>
                <w:bCs w:val="1"/>
                <w:color w:val="auto"/>
              </w:rPr>
              <w:t>187,095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680" w:type="dxa"/>
            <w:vAlign w:val="bottom"/>
          </w:tcPr>
          <w:p>
            <w:pPr>
              <w:spacing w:after="0"/>
              <w:rPr>
                <w:sz w:val="14"/>
                <w:szCs w:val="14"/>
                <w:color w:val="auto"/>
              </w:rPr>
            </w:pPr>
          </w:p>
        </w:tc>
        <w:tc>
          <w:tcPr>
            <w:tcW w:w="1880" w:type="dxa"/>
            <w:vAlign w:val="bottom"/>
            <w:tcBorders>
              <w:bottom w:val="single" w:sz="8" w:color="auto"/>
            </w:tcBorders>
          </w:tcPr>
          <w:p>
            <w:pPr>
              <w:jc w:val="right"/>
              <w:ind w:right="590"/>
              <w:spacing w:after="0" w:line="167" w:lineRule="exact"/>
              <w:rPr>
                <w:sz w:val="20"/>
                <w:szCs w:val="20"/>
                <w:color w:val="auto"/>
              </w:rPr>
            </w:pPr>
            <w:r>
              <w:rPr>
                <w:rFonts w:ascii="Arial" w:cs="Arial" w:eastAsia="Arial" w:hAnsi="Arial"/>
                <w:sz w:val="15"/>
                <w:szCs w:val="15"/>
                <w:b w:val="1"/>
                <w:bCs w:val="1"/>
                <w:color w:val="auto"/>
              </w:rPr>
              <w:t>1,262,250</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86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Below are details of Cable division capital expenditures for the first six months of 2012 and 2011, as defined by the NCTA Standard Reporting Catego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2012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Customer Premise Equipment</w:t>
            </w:r>
          </w:p>
        </w:tc>
        <w:tc>
          <w:tcPr>
            <w:tcW w:w="440" w:type="dxa"/>
            <w:vAlign w:val="bottom"/>
          </w:tcPr>
          <w:p>
            <w:pPr>
              <w:jc w:val="right"/>
              <w:ind w:right="126"/>
              <w:spacing w:after="0" w:line="150" w:lineRule="exact"/>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127"/>
              <w:spacing w:after="0" w:line="150" w:lineRule="exact"/>
              <w:rPr>
                <w:sz w:val="20"/>
                <w:szCs w:val="20"/>
                <w:color w:val="auto"/>
              </w:rPr>
            </w:pPr>
            <w:r>
              <w:rPr>
                <w:rFonts w:ascii="Arial" w:cs="Arial" w:eastAsia="Arial" w:hAnsi="Arial"/>
                <w:sz w:val="15"/>
                <w:szCs w:val="15"/>
                <w:b w:val="1"/>
                <w:bCs w:val="1"/>
                <w:color w:val="auto"/>
              </w:rPr>
              <w:t>25,336</w:t>
            </w:r>
          </w:p>
        </w:tc>
        <w:tc>
          <w:tcPr>
            <w:tcW w:w="940" w:type="dxa"/>
            <w:vAlign w:val="bottom"/>
          </w:tcPr>
          <w:p>
            <w:pPr>
              <w:jc w:val="right"/>
              <w:ind w:right="590"/>
              <w:spacing w:after="0" w:line="150" w:lineRule="exact"/>
              <w:rPr>
                <w:sz w:val="20"/>
                <w:szCs w:val="20"/>
                <w:color w:val="auto"/>
              </w:rPr>
            </w:pPr>
            <w:r>
              <w:rPr>
                <w:rFonts w:ascii="Arial" w:cs="Arial" w:eastAsia="Arial" w:hAnsi="Arial"/>
                <w:sz w:val="15"/>
                <w:szCs w:val="15"/>
                <w:color w:val="auto"/>
              </w:rPr>
              <w:t>$</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Commercial</w:t>
            </w:r>
          </w:p>
        </w:tc>
        <w:tc>
          <w:tcPr>
            <w:tcW w:w="44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b w:val="1"/>
                <w:bCs w:val="1"/>
                <w:color w:val="auto"/>
              </w:rPr>
              <w:t>2,148</w:t>
            </w:r>
          </w:p>
        </w:tc>
        <w:tc>
          <w:tcPr>
            <w:tcW w:w="940" w:type="dxa"/>
            <w:vAlign w:val="bottom"/>
          </w:tcPr>
          <w:p>
            <w:pPr>
              <w:spacing w:after="0"/>
              <w:rPr>
                <w:sz w:val="15"/>
                <w:szCs w:val="15"/>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Scaleable Infrastructure</w:t>
            </w:r>
          </w:p>
        </w:tc>
        <w:tc>
          <w:tcPr>
            <w:tcW w:w="44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b w:val="1"/>
                <w:bCs w:val="1"/>
                <w:color w:val="auto"/>
              </w:rPr>
              <w:t>10,667</w:t>
            </w:r>
          </w:p>
        </w:tc>
        <w:tc>
          <w:tcPr>
            <w:tcW w:w="940" w:type="dxa"/>
            <w:vAlign w:val="bottom"/>
          </w:tcPr>
          <w:p>
            <w:pPr>
              <w:spacing w:after="0"/>
              <w:rPr>
                <w:sz w:val="15"/>
                <w:szCs w:val="15"/>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Line Extensions</w:t>
            </w:r>
          </w:p>
        </w:tc>
        <w:tc>
          <w:tcPr>
            <w:tcW w:w="44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b w:val="1"/>
                <w:bCs w:val="1"/>
                <w:color w:val="auto"/>
              </w:rPr>
              <w:t>2,415</w:t>
            </w:r>
          </w:p>
        </w:tc>
        <w:tc>
          <w:tcPr>
            <w:tcW w:w="940" w:type="dxa"/>
            <w:vAlign w:val="bottom"/>
          </w:tcPr>
          <w:p>
            <w:pPr>
              <w:spacing w:after="0"/>
              <w:rPr>
                <w:sz w:val="15"/>
                <w:szCs w:val="15"/>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Upgrade/Rebuild</w:t>
            </w:r>
          </w:p>
        </w:tc>
        <w:tc>
          <w:tcPr>
            <w:tcW w:w="44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b w:val="1"/>
                <w:bCs w:val="1"/>
                <w:color w:val="auto"/>
              </w:rPr>
              <w:t>7,581</w:t>
            </w:r>
          </w:p>
        </w:tc>
        <w:tc>
          <w:tcPr>
            <w:tcW w:w="940" w:type="dxa"/>
            <w:vAlign w:val="bottom"/>
          </w:tcPr>
          <w:p>
            <w:pPr>
              <w:spacing w:after="0"/>
              <w:rPr>
                <w:sz w:val="15"/>
                <w:szCs w:val="15"/>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Support Capital</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17,064</w:t>
            </w:r>
          </w:p>
        </w:tc>
        <w:tc>
          <w:tcPr>
            <w:tcW w:w="940" w:type="dxa"/>
            <w:vAlign w:val="bottom"/>
            <w:tcBorders>
              <w:bottom w:val="single" w:sz="8" w:color="auto"/>
            </w:tcBorders>
          </w:tcPr>
          <w:p>
            <w:pPr>
              <w:spacing w:after="0"/>
              <w:rPr>
                <w:sz w:val="16"/>
                <w:szCs w:val="16"/>
                <w:color w:val="auto"/>
              </w:rPr>
            </w:pPr>
          </w:p>
        </w:tc>
      </w:tr>
      <w:tr>
        <w:trPr>
          <w:trHeight w:val="166"/>
        </w:trPr>
        <w:tc>
          <w:tcPr>
            <w:tcW w:w="8460" w:type="dxa"/>
            <w:vAlign w:val="bottom"/>
          </w:tcPr>
          <w:p>
            <w:pPr>
              <w:spacing w:after="0"/>
              <w:rPr>
                <w:sz w:val="14"/>
                <w:szCs w:val="14"/>
                <w:color w:val="auto"/>
              </w:rPr>
            </w:pPr>
          </w:p>
        </w:tc>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65,211</w:t>
            </w:r>
          </w:p>
        </w:tc>
        <w:tc>
          <w:tcPr>
            <w:tcW w:w="940" w:type="dxa"/>
            <w:vAlign w:val="bottom"/>
            <w:tcBorders>
              <w:bottom w:val="single" w:sz="8" w:color="auto"/>
            </w:tcBorders>
          </w:tcPr>
          <w:p>
            <w:pPr>
              <w:jc w:val="right"/>
              <w:ind w:right="590"/>
              <w:spacing w:after="0" w:line="167" w:lineRule="exact"/>
              <w:rPr>
                <w:sz w:val="20"/>
                <w:szCs w:val="20"/>
                <w:color w:val="auto"/>
              </w:rPr>
            </w:pPr>
            <w:r>
              <w:rPr>
                <w:rFonts w:ascii="Arial" w:cs="Arial" w:eastAsia="Arial" w:hAnsi="Arial"/>
                <w:sz w:val="15"/>
                <w:szCs w:val="15"/>
                <w:color w:val="auto"/>
              </w:rPr>
              <w:t>$</w:t>
            </w:r>
          </w:p>
        </w:tc>
      </w:tr>
      <w:tr>
        <w:trPr>
          <w:trHeight w:val="20"/>
        </w:trPr>
        <w:tc>
          <w:tcPr>
            <w:tcW w:w="8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Newspaper publishing division revenue totaled $ 151.8 million for the second quarter of 2012, down 7% from revenue of $162.8 million for the second quarter of 2011; division revenue declined 7% to $294.1 million for the first six months of 2012, from $317.8 million for the first six months of 2011. Pri advertising revenue at The Washington Post in the second quarter of 2012 declined 15% to $56.7 million, from $ 66.6 million in the second quarter of 2 and declined 16% to $109.3 million for the first six months of 2012, from $129.8 million for the first six months of 2011. The decline is largely due to reductions in general advertising. Revenue generated by the Company’s newspaper online publishing activities, primarily washingtonpost.com and Sla increased 8% to $26.3 million for the second quarter of 2012, versus $24.3 million for the second quarter of 2011; newspaper online revenues increas slightly to $50.6 million for the first six months of 2012, versus $50.5 million for the first six months of 2011. Display online advertising revenue increas 14% and 1% for the second quarter and first six months of 2012, respectively. Online classified advertising revenue decreased 2% for both the second quarter and the first six months of 2012.</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first six months of 2012, Post daily and Sunday circulation declined 9.3% and 6.1%, respectively, compared to the same periods of the prior ye For the six months ended June 30, 2012, average daily circulation at The Washington Post totaled 482,100 and average Sunday circulation totaled 69</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newspaper publishing division reported an operating loss of $15.9 million in the second quarter of 2012, compared to an operating loss of $2.9 mi the second quarter of 2011. For the first six months of 2012, the newspaper publishing division reported an operating loss of $38.4 million, compared t operating loss of $15.7 million for the first six months of 2011. These operating losses include noncash pension expense of $7.8 million and $5.3 millio the second quarter of 2012 and 2011, respectively, and $16.4 million and $12.0 million for the first six months of 2012 and 2011, respectively.</w:t>
      </w:r>
    </w:p>
    <w:p>
      <w:pPr>
        <w:spacing w:after="0" w:line="17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20" w:name="page21"/>
    <w:bookmarkEnd w:id="20"/>
    <w:p>
      <w:pPr>
        <w:jc w:val="both"/>
        <w:spacing w:after="0" w:line="242" w:lineRule="auto"/>
        <w:rPr>
          <w:sz w:val="20"/>
          <w:szCs w:val="20"/>
          <w:color w:val="auto"/>
        </w:rPr>
      </w:pPr>
      <w:r>
        <w:rPr>
          <w:rFonts w:ascii="Arial" w:cs="Arial" w:eastAsia="Arial" w:hAnsi="Arial"/>
          <w:sz w:val="16"/>
          <w:szCs w:val="16"/>
          <w:color w:val="auto"/>
        </w:rPr>
        <w:t>The decline in operating results for the second quarter of 2012 is primarily due to the revenue reductions discussed above and $3.4 million in severan expense, offset partially by a decline in other operating expenses. The decline in operating results for the first half of 2012 is primarily due to the reven reductions discussed above and $5.3 million in severance and early retirement expenses, offset partially by a decline in other operating expenses.</w:t>
      </w:r>
    </w:p>
    <w:p>
      <w:pPr>
        <w:spacing w:after="0" w:line="2" w:lineRule="exact"/>
        <w:rPr>
          <w:sz w:val="20"/>
          <w:szCs w:val="20"/>
          <w:color w:val="auto"/>
        </w:rPr>
      </w:pPr>
    </w:p>
    <w:p>
      <w:pPr>
        <w:ind w:right="20"/>
        <w:spacing w:after="0" w:line="457" w:lineRule="auto"/>
        <w:rPr>
          <w:sz w:val="20"/>
          <w:szCs w:val="20"/>
          <w:color w:val="auto"/>
        </w:rPr>
      </w:pPr>
      <w:r>
        <w:rPr>
          <w:rFonts w:ascii="Arial" w:cs="Arial" w:eastAsia="Arial" w:hAnsi="Arial"/>
          <w:sz w:val="17"/>
          <w:szCs w:val="17"/>
          <w:color w:val="auto"/>
        </w:rPr>
        <w:t xml:space="preserve">Newsprint expense was down 10% and 11% for the second quarter and first six months of 2012, respectively, due to a decline in newsprint consumpti </w:t>
      </w:r>
      <w:r>
        <w:rPr>
          <w:rFonts w:ascii="Arial" w:cs="Arial" w:eastAsia="Arial" w:hAnsi="Arial"/>
          <w:sz w:val="17"/>
          <w:szCs w:val="17"/>
          <w:b w:val="1"/>
          <w:bCs w:val="1"/>
          <w:i w:val="1"/>
          <w:iCs w:val="1"/>
          <w:color w:val="auto"/>
        </w:rPr>
        <w:t>Television Broadcasting</w:t>
      </w:r>
    </w:p>
    <w:p>
      <w:pPr>
        <w:jc w:val="both"/>
        <w:spacing w:after="0" w:line="232" w:lineRule="auto"/>
        <w:rPr>
          <w:sz w:val="20"/>
          <w:szCs w:val="20"/>
          <w:color w:val="auto"/>
        </w:rPr>
      </w:pPr>
      <w:r>
        <w:rPr>
          <w:rFonts w:ascii="Arial" w:cs="Arial" w:eastAsia="Arial" w:hAnsi="Arial"/>
          <w:sz w:val="17"/>
          <w:szCs w:val="17"/>
          <w:color w:val="auto"/>
        </w:rPr>
        <w:t>Revenue for the television broadcasting division increased 13% in the second quarter of 2012 to $95.6 million, from $84.9 million in the same period o 2011; operating income for the second quarter of 2012 increased 34% to $43.7 million, from $32.6 million in the same period of 2011. For the first six months of 2012, revenue increased 13% to $177.1 million, from $157.1 million in the same period of 2011; operating income for the first six months of increased 43% to $74.7 million, from $52.2 million in the same period of 2011.</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increase in revenue and operating income for the second quarter and first six months of 2012 reflects improved advertising demand across many product categories, including a $4.4 million and $6.6 million increase in political advertising revenue in the second quarter and first six months of 2012 respectively. Expense reductions from various cost control initiatives also contributed to the improvement in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Other businesses includes the operating results of Avenue100 Media Solutions and WaPo Labs, a digital team focused on emerging technologies and product development.</w:t>
      </w:r>
    </w:p>
    <w:p>
      <w:pPr>
        <w:spacing w:after="0" w:line="176"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July 2012, the Company determined that Avenue100 Media Solutions, Inc. had no value and disposed of the business. As a result, the Company estimates that it will incur a pre-tax loss of approximately $5 million, and record a tax benefit of approximately $42 million. The estimated tax benefit is the Company’s tax basis in the stock of Avenue100 exceeding its net book value, as a result of goodwill and other intangible asset impairment charge recorded in 2008, 2010 and 2011 for which no tax benefit was previously recorded.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w:t>
      </w:r>
    </w:p>
    <w:p>
      <w:pPr>
        <w:spacing w:after="0" w:line="188"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Company’s equity in earnings of affiliates, net, for the second quarter of 2012 was $3.3 million, compared to $3.1 million for the second quarter of For the first six months of 2012, the Company’s equity in earnings of affiliates, net, totaled $7.2 million, compared to $6.9 million for the same period o 2011.</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recorded other non-operating expense, net, of $1.2 million for the second quarter of 2012, compared to other non-operating expense, n $2.6 million for the second quarter of 2011. The second quarter 2012 non-operating expense, net, included $2.6 million in unrealized foreign currency losses, offset by other items. The second quarter 2011 non-operating expense, net, included $3.1 million for an impairment write-down on a cost meth investment, offset by $0.3 million in unrealized foreign currency gains and other items.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recorded non-operating income, net, of $7.4 million for the first six months of 2012, compared to other non-operating expense, net, of $ million for the same period of the prior year. The 2012 non-operating income, net, included a $7.3 million gain on sales of cost method investments, $0 million in unrealized foreign currency gains and other items. The 2011 non-operating expense, net, included a $30.7 million write-down of a marketabl equity security (Corinthian Colleges, Inc.), offset by $3.0 million in unrealized foreign currency gains and other items.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A summary of non-operating income (expense) for the six months ended June 30, 2012 and July 3, 2011, is as follows:</w:t>
      </w:r>
    </w:p>
    <w:p>
      <w:pPr>
        <w:sectPr>
          <w:pgSz w:w="11900" w:h="16838" w:orient="portrait"/>
          <w:cols w:equalWidth="0" w:num="1">
            <w:col w:w="10940"/>
          </w:cols>
          <w:pgMar w:left="820" w:top="598" w:right="13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9532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Gain on sales of cost method investments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Gain on sales of marketable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Impairment write-down on a cost method investment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gains,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Impairment write-down on a marketable equity security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Other, net</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Total Other Non-Operating Income (Expense)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380" w:type="dxa"/>
            <w:vAlign w:val="bottom"/>
          </w:tcPr>
          <w:p>
            <w:pPr>
              <w:spacing w:after="0"/>
              <w:rPr>
                <w:sz w:val="12"/>
                <w:szCs w:val="12"/>
                <w:color w:val="auto"/>
              </w:rPr>
            </w:pPr>
          </w:p>
        </w:tc>
        <w:tc>
          <w:tcPr>
            <w:tcW w:w="1160" w:type="dxa"/>
            <w:vAlign w:val="bottom"/>
          </w:tcPr>
          <w:p>
            <w:pPr>
              <w:jc w:val="right"/>
              <w:ind w:right="667"/>
              <w:spacing w:after="0"/>
              <w:rPr>
                <w:sz w:val="20"/>
                <w:szCs w:val="20"/>
                <w:color w:val="auto"/>
              </w:rPr>
            </w:pPr>
            <w:r>
              <w:rPr>
                <w:rFonts w:ascii="Arial" w:cs="Arial" w:eastAsia="Arial" w:hAnsi="Arial"/>
                <w:sz w:val="12"/>
                <w:szCs w:val="12"/>
                <w:b w:val="1"/>
                <w:bCs w:val="1"/>
                <w:color w:val="auto"/>
              </w:rPr>
              <w:t>2012</w:t>
            </w:r>
          </w:p>
        </w:tc>
        <w:tc>
          <w:tcPr>
            <w:tcW w:w="440" w:type="dxa"/>
            <w:vAlign w:val="bottom"/>
          </w:tcPr>
          <w:p>
            <w:pPr>
              <w:spacing w:after="0"/>
              <w:rPr>
                <w:sz w:val="12"/>
                <w:szCs w:val="12"/>
                <w:color w:val="auto"/>
              </w:rPr>
            </w:pPr>
          </w:p>
        </w:tc>
        <w:tc>
          <w:tcPr>
            <w:tcW w:w="500" w:type="dxa"/>
            <w:vAlign w:val="bottom"/>
          </w:tcPr>
          <w:p>
            <w:pPr>
              <w:jc w:val="right"/>
              <w:ind w:right="9"/>
              <w:spacing w:after="0"/>
              <w:rPr>
                <w:sz w:val="20"/>
                <w:szCs w:val="20"/>
                <w:color w:val="auto"/>
              </w:rPr>
            </w:pPr>
            <w:r>
              <w:rPr>
                <w:rFonts w:ascii="Arial" w:cs="Arial" w:eastAsia="Arial" w:hAnsi="Arial"/>
                <w:sz w:val="12"/>
                <w:szCs w:val="12"/>
                <w:color w:val="auto"/>
              </w:rPr>
              <w:t>2011</w:t>
            </w:r>
          </w:p>
        </w:tc>
      </w:tr>
      <w:tr>
        <w:trPr>
          <w:trHeight w:val="174"/>
        </w:trPr>
        <w:tc>
          <w:tcPr>
            <w:tcW w:w="38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7,258</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r>
      <w:tr>
        <w:trPr>
          <w:trHeight w:val="174"/>
        </w:trPr>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505</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4"/>
        </w:trPr>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(386)</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68</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4"/>
        </w:trPr>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(17)</w:t>
            </w: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66"/>
        </w:trPr>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7,428</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7740" w:space="720"/>
            <w:col w:w="2480"/>
          </w:cols>
          <w:pgMar w:left="820" w:top="598" w:right="139" w:bottom="1440" w:gutter="0" w:footer="0" w:header="0"/>
          <w:type w:val="continuous"/>
        </w:sectPr>
      </w:pPr>
    </w:p>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incurred net interest expense of $8.2 million and $16.3 million for the second quarter and first six months of 2012, respectively, compar $7.0 million and $13.9 million for the same periods of 2011. At June 30, 2012, the Company had $455.7 million in borrowings outstanding, at an avera interest rate of 7.0%.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six months of 2012 was 40.2%, compared to 37.0% for the first six months of 2 The higher effective tax rate in 2012 results primarily from losses in Australia for which no tax benefit is recorded.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sold EduNeering in April 2012, Kaplan Learning Technologies in February 2012, Kaplan Compliance Solutions in October 2011 and Kaplan Vir Education in July 2011. Consequently, the Company’s income from continuing operations excludes these businesses, which have been reclassified to discontinued operations, net of tax.</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sale of Kaplan Learning Technologies resulted in a pre-tax loss of $3.1 million that was recorded in the first quarter of 2012. The sale of EduNeeri resulted in a pre-tax gain of $29.5 million that was recorded in the second quarter of 2012.</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each of the sales of the Company’s stock in EduNeering and Kaplan Learning Technologies, in the first quarter of 2012, the Compa recorded $23.2 million of income tax benefits related to the excess of the outside stock tax basis over the net book value of the net assets disposed.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calculation of diluted earnings per share for the second quarter and first six months of 2012 was based on 7,545,150 and 7,579,888 weighted ave shares outstanding, respectively, compared to 7,933,459 and 8,026,424, respectively, for the second quarter and first six months of 2011. In the first si months of 2012, the Company repurchased 218,282 shares of its Class B common stock at a cost of $74.5 million. At June 30, 2012, there were 7,44 shares outstanding and the Company had remaining authorization from the Board of Directors to purchase up to 275,192 shares of Class B common 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KHE Regulatory Matters</w:t>
      </w:r>
    </w:p>
    <w:p>
      <w:pPr>
        <w:spacing w:after="0" w:line="140"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 xml:space="preserve">Gainful employment. </w:t>
      </w:r>
      <w:r>
        <w:rPr>
          <w:rFonts w:ascii="Arial" w:cs="Arial" w:eastAsia="Arial" w:hAnsi="Arial"/>
          <w:sz w:val="17"/>
          <w:szCs w:val="17"/>
          <w:color w:val="auto"/>
        </w:rPr>
        <w:t>In June 2011, the DOE issued final regulations that tie an education program’s Title IV eligibility to whether the program leads t</w:t>
      </w:r>
      <w:r>
        <w:rPr>
          <w:rFonts w:ascii="Arial" w:cs="Arial" w:eastAsia="Arial" w:hAnsi="Arial"/>
          <w:sz w:val="17"/>
          <w:szCs w:val="17"/>
          <w:b w:val="1"/>
          <w:bCs w:val="1"/>
          <w:color w:val="auto"/>
        </w:rPr>
        <w:t xml:space="preserve"> </w:t>
      </w:r>
      <w:r>
        <w:rPr>
          <w:rFonts w:ascii="Arial" w:cs="Arial" w:eastAsia="Arial" w:hAnsi="Arial"/>
          <w:sz w:val="17"/>
          <w:szCs w:val="17"/>
          <w:color w:val="auto"/>
        </w:rPr>
        <w:t>gainful employment. The regulations define an education program that leads to gainful employment as one that complies with the following gainful employment metrics as calculated under the complex formulas prescribed in the regulations: (1) the average annual loan payment for program gradua 12% or less of annual earnings; (2) the average annual loan payment for program graduates is 30% or less of discretionary income, generally defined annual earnings above 150% of the U.S. Federal poverty level; and (3) the U.S. Federal loan repayment rate must be at least 35% for loans owed by students for attendance in the program regardless of whether they graduated.</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If a program fails all three of the gainful employment metrics in a single U.S. Federal fiscal year, the Department requires the institution, among other t to disclose to current and prospective students the amount by which the program under-performed the metrics and the institution’s plan for program improvement, and to establish a three-day waiting period before students can enroll. Should a program fail to achieve the metrics twice within three ye the Department requires the institution, among other things, to disclose to current and prospective students that they should expect to have difficulty repaying their student loans; that the program is at risk of losing eligibility to receive U.S. Federal financial</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98" w:right="139" w:bottom="1440" w:gutter="0" w:footer="0" w:header="0"/>
          <w:type w:val="continuous"/>
        </w:sectPr>
      </w:pPr>
    </w:p>
    <w:bookmarkStart w:id="22" w:name="page23"/>
    <w:bookmarkEnd w:id="22"/>
    <w:p>
      <w:pPr>
        <w:jc w:val="both"/>
        <w:spacing w:after="0" w:line="231" w:lineRule="auto"/>
        <w:rPr>
          <w:sz w:val="20"/>
          <w:szCs w:val="20"/>
          <w:color w:val="auto"/>
        </w:rPr>
      </w:pPr>
      <w:r>
        <w:rPr>
          <w:rFonts w:ascii="Arial" w:cs="Arial" w:eastAsia="Arial" w:hAnsi="Arial"/>
          <w:sz w:val="17"/>
          <w:szCs w:val="17"/>
          <w:color w:val="auto"/>
        </w:rPr>
        <w:t>aid; and that transfer options exist, including providing resources to students to research other education options and compare program costs. Should program fail three times within a four-year period, the DOE would terminate the program’s eligibility for U.S. Federal student aid, and the institution wo not be able to reestablish the program’s eligibility for at least three years, though the program could continue to operate without student aid. The final r was scheduled to go into effect on July 1, 2012. However, the first final debt measures would not be released until 2013, and a program could not lose eligibility until 2015.</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June 30, 2012, the United States District Court for the District of Columbia overturned most of the final regulations on gainful employment. The DO reviewing the details of the Court’s decision in consultation with the Department of Justice and evaluating their plans which may include an appeal. Th ultimate outcome of gainful employment regulations and their impact on Kaplan’s operations is uncertain.</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17"/>
          <w:szCs w:val="17"/>
          <w:b w:val="1"/>
          <w:bCs w:val="1"/>
          <w:color w:val="auto"/>
        </w:rPr>
        <w:t xml:space="preserve">The 90/10 Rule. </w:t>
      </w:r>
      <w:r>
        <w:rPr>
          <w:rFonts w:ascii="Arial" w:cs="Arial" w:eastAsia="Arial" w:hAnsi="Arial"/>
          <w:sz w:val="17"/>
          <w:szCs w:val="17"/>
          <w:color w:val="auto"/>
        </w:rPr>
        <w:t>Under regulations referred to as the 90/10 rule, a Kaplan Higher Education OPEID unit would lose its eligibility to participate in the Tit</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for a period of at least two fiscal years if it derives more than 90% of its receipts from the Title IV programs for two consecutive fiscal years, commencing with the unit's first fiscal year that ends after August 14, 2008. Any OPEID reporting unit with receipts from the Title IV programs exceedi 90% for a single fiscal year ending after August 14, 2008, would be placed on provisional certification and may be subject to other enforcement measu KHE is taking various measures to reduce the percentage of its receipts attributable to Title IV funds, including emphasizing direct-pay and employer-p education programs; encouraging students to carefully evaluate the amount of their Title IV borrowing; program eliminations; cash-matching and devel and offering additional non-Title IV-eligible certificate preparation, professional development and continuing education programs. Based on currently available information, management does not believe that any of the Kaplan OPEID units will have a 90/10 ratio over 90% in 2012. However, absent th adoption of the changes mentioned above, and if current trends continue, management estimates that in 2013, at least 20 of the KHE Campuses OPE units, representing approximately 22% of KHE’s 2011 revenues, could have a 90/10 ratio over 90%. As noted above, Kaplan is taking steps to addres compliance with the 90/10 rule; however, there can be no guarantee that these measures will be adequate to prevent the 90/10 rule calculations from exceeding 90%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Condition: Capital Resources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and Dispositions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the first six months of 2012, the Company acquired four small businesses in its education division and other businesses segment; the purchase pric allocation mostly comprised goodwill and other intangible assets on a preliminary basis. In the first six months of 2011, the Company acquired four businesses. In the second quarter of 2011, Kaplan acquired three businesses in its Kaplan International division. These acquisitions included Kaplan’s 2011 acquisitions of Franklyn Scholar and Carrick Education Group, leading national providers of vocational training and higher education in Australia. June 2011, Kaplan acquired Structuralia, a provider of e-learning for the engineering and infrastructure sector in Spain. The assets and liabilities of the companies acquired have been recorded at their estimated fair values at the date of acquisition.</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Kaplan completed the sales of EduNeering in April 2012 and Kaplan Learning Technologies in February 2012, which were part of the Kaplan Ventures division. In July 2011, Kaplan completed the sale of Kaplan Virtual Education, which was part of Kaplan Ventures division.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9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During the first six months of 2012, the Company’s capital expenditures totaled $97.8 million. The Company estimates that its capital expenditures will the range of $240 million to $265 million in 2012.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Company’s borrowings decreased by $109.5 million, to $455.7 million at June 30, 2012, as compared to borrowings of $565.2 million at Decembe 2011</w:t>
      </w:r>
      <w:r>
        <w:rPr>
          <w:rFonts w:ascii="Arial" w:cs="Arial" w:eastAsia="Arial" w:hAnsi="Arial"/>
          <w:sz w:val="17"/>
          <w:szCs w:val="17"/>
          <w:i w:val="1"/>
          <w:iCs w:val="1"/>
          <w:color w:val="auto"/>
        </w:rPr>
        <w:t>.</w:t>
      </w:r>
      <w:r>
        <w:rPr>
          <w:rFonts w:ascii="Arial" w:cs="Arial" w:eastAsia="Arial" w:hAnsi="Arial"/>
          <w:sz w:val="17"/>
          <w:szCs w:val="17"/>
          <w:color w:val="auto"/>
        </w:rPr>
        <w:t xml:space="preserve"> At June 30, 2012, the Company has $264.1 million in cash and cash equivalents, compared to $381.1 million at December 31, 2011. The Comp had money market investments of $142.0 million and $180.1 million that are classified as cash and cash equivalents in the Company’s condensed consolidated Balance Sheets as of June 30, 2012 and December 31, 2011, respectively.</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Company’s total debt outstanding of $455.7 million at June 30, 2012 included $397.3 million of 7.25% unsecured notes due February 1, 2019, $5 million of AUD 50M borrowing and $7.3 million in other debt.</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23" w:name="page24"/>
    <w:bookmarkEnd w:id="23"/>
    <w:p>
      <w:pPr>
        <w:jc w:val="both"/>
        <w:spacing w:after="0" w:line="232" w:lineRule="auto"/>
        <w:rPr>
          <w:sz w:val="20"/>
          <w:szCs w:val="20"/>
          <w:color w:val="auto"/>
        </w:rPr>
      </w:pPr>
      <w:r>
        <w:rPr>
          <w:rFonts w:ascii="Arial" w:cs="Arial" w:eastAsia="Arial" w:hAnsi="Arial"/>
          <w:sz w:val="17"/>
          <w:szCs w:val="17"/>
          <w:color w:val="auto"/>
        </w:rPr>
        <w:t>In June 2011, the Company entered into a credit agreement (the “Credit Agreement”) providing for a U.S. $450 million, AUD 50 million four year revolv credit facility (the “Facility”), with each of the lenders party thereto, JPMorgan Chase Bank, N.A., as Administrative Agent (“JP Morgan”), and J.P. Morg Australia Limited, as Australian Sub-Agent. The Facility replaces the Company’s previous revolving credit agreement. The Facility will expire on June 2015, unless the Company and the banks agree to extend the term.</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November 2011, Standard &amp; Poor’s lowered the Company’s long-term corporate debt rating from “A-” to “BBB+” and changed the outlook from Neg to Stable. Standard &amp; Poor’s kept the short-term rating unchanged at “A-2.” In November 2011, Moody’s downgraded the Company’s senior unsecure rating from “A2” to “A3” and the commercial paper rating from “Prime-1” to “Prime-2.” The outlook was changed from Rating Under Review to Negative May 2012, Standard &amp; Poor’s affirmed the Company’s credit ratings, but revised the outlook from Stable to Negative. In July 2012, Moody’s changed t outlook of the Company’s long-term debt rating from Negative to Rating Under Review. The Company’s current credit ratings are as follows:</w:t>
      </w:r>
    </w:p>
    <w:tbl>
      <w:tblPr>
        <w:tblLayout w:type="fixed"/>
        <w:tblInd w:w="0" w:type="dxa"/>
        <w:tblCellMar>
          <w:top w:w="0" w:type="dxa"/>
          <w:left w:w="0" w:type="dxa"/>
          <w:bottom w:w="0" w:type="dxa"/>
          <w:right w:w="0" w:type="dxa"/>
        </w:tblCellMar>
      </w:tblPr>
      <w:tr>
        <w:trPr>
          <w:trHeight w:val="126"/>
        </w:trPr>
        <w:tc>
          <w:tcPr>
            <w:tcW w:w="49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620" w:type="dxa"/>
            <w:vAlign w:val="bottom"/>
          </w:tcPr>
          <w:p>
            <w:pPr>
              <w:ind w:left="260"/>
              <w:spacing w:after="0" w:line="126" w:lineRule="exact"/>
              <w:rPr>
                <w:sz w:val="20"/>
                <w:szCs w:val="20"/>
                <w:color w:val="auto"/>
              </w:rPr>
            </w:pPr>
            <w:r>
              <w:rPr>
                <w:rFonts w:ascii="Arial" w:cs="Arial" w:eastAsia="Arial" w:hAnsi="Arial"/>
                <w:sz w:val="12"/>
                <w:szCs w:val="12"/>
                <w:b w:val="1"/>
                <w:bCs w:val="1"/>
                <w:color w:val="auto"/>
              </w:rPr>
              <w:t>Stand</w:t>
            </w:r>
          </w:p>
        </w:tc>
      </w:tr>
      <w:tr>
        <w:trPr>
          <w:trHeight w:val="151"/>
        </w:trPr>
        <w:tc>
          <w:tcPr>
            <w:tcW w:w="494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tcPr>
          <w:p>
            <w:pPr>
              <w:jc w:val="right"/>
              <w:ind w:right="570"/>
              <w:spacing w:after="0"/>
              <w:rPr>
                <w:sz w:val="20"/>
                <w:szCs w:val="20"/>
                <w:color w:val="auto"/>
              </w:rPr>
            </w:pPr>
            <w:r>
              <w:rPr>
                <w:rFonts w:ascii="Arial" w:cs="Arial" w:eastAsia="Arial" w:hAnsi="Arial"/>
                <w:sz w:val="12"/>
                <w:szCs w:val="12"/>
                <w:b w:val="1"/>
                <w:bCs w:val="1"/>
                <w:color w:val="auto"/>
              </w:rPr>
              <w:t>Moody’s</w:t>
            </w:r>
          </w:p>
        </w:tc>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w w:val="92"/>
              </w:rPr>
              <w:t>&amp; Poo</w:t>
            </w:r>
          </w:p>
        </w:tc>
      </w:tr>
      <w:tr>
        <w:trPr>
          <w:trHeight w:val="168"/>
        </w:trPr>
        <w:tc>
          <w:tcPr>
            <w:tcW w:w="4940" w:type="dxa"/>
            <w:vAlign w:val="bottom"/>
          </w:tcPr>
          <w:p>
            <w:pPr>
              <w:spacing w:after="0" w:line="168" w:lineRule="exact"/>
              <w:rPr>
                <w:sz w:val="20"/>
                <w:szCs w:val="20"/>
                <w:color w:val="auto"/>
              </w:rPr>
            </w:pPr>
            <w:r>
              <w:rPr>
                <w:rFonts w:ascii="Arial" w:cs="Arial" w:eastAsia="Arial" w:hAnsi="Arial"/>
                <w:sz w:val="15"/>
                <w:szCs w:val="15"/>
                <w:color w:val="auto"/>
              </w:rPr>
              <w:t>Long-term</w:t>
            </w:r>
          </w:p>
        </w:tc>
        <w:tc>
          <w:tcPr>
            <w:tcW w:w="5380" w:type="dxa"/>
            <w:vAlign w:val="bottom"/>
          </w:tcPr>
          <w:p>
            <w:pPr>
              <w:jc w:val="right"/>
              <w:ind w:right="190"/>
              <w:spacing w:after="0" w:line="168" w:lineRule="exact"/>
              <w:rPr>
                <w:sz w:val="20"/>
                <w:szCs w:val="20"/>
                <w:color w:val="auto"/>
              </w:rPr>
            </w:pPr>
            <w:r>
              <w:rPr>
                <w:rFonts w:ascii="Arial" w:cs="Arial" w:eastAsia="Arial" w:hAnsi="Arial"/>
                <w:sz w:val="15"/>
                <w:szCs w:val="15"/>
                <w:color w:val="auto"/>
              </w:rPr>
              <w:t>A3</w:t>
            </w:r>
          </w:p>
        </w:tc>
        <w:tc>
          <w:tcPr>
            <w:tcW w:w="620" w:type="dxa"/>
            <w:vAlign w:val="bottom"/>
          </w:tcPr>
          <w:p>
            <w:pPr>
              <w:spacing w:after="0"/>
              <w:rPr>
                <w:sz w:val="14"/>
                <w:szCs w:val="14"/>
                <w:color w:val="auto"/>
              </w:rPr>
            </w:pPr>
          </w:p>
        </w:tc>
      </w:tr>
      <w:tr>
        <w:trPr>
          <w:trHeight w:val="179"/>
        </w:trPr>
        <w:tc>
          <w:tcPr>
            <w:tcW w:w="4940" w:type="dxa"/>
            <w:vAlign w:val="bottom"/>
          </w:tcPr>
          <w:p>
            <w:pPr>
              <w:spacing w:after="0"/>
              <w:rPr>
                <w:sz w:val="20"/>
                <w:szCs w:val="20"/>
                <w:color w:val="auto"/>
              </w:rPr>
            </w:pPr>
            <w:r>
              <w:rPr>
                <w:rFonts w:ascii="Arial" w:cs="Arial" w:eastAsia="Arial" w:hAnsi="Arial"/>
                <w:sz w:val="15"/>
                <w:szCs w:val="15"/>
                <w:color w:val="auto"/>
              </w:rPr>
              <w:t>Short-term</w:t>
            </w:r>
          </w:p>
        </w:tc>
        <w:tc>
          <w:tcPr>
            <w:tcW w:w="5380" w:type="dxa"/>
            <w:vAlign w:val="bottom"/>
          </w:tcPr>
          <w:p>
            <w:pPr>
              <w:jc w:val="right"/>
              <w:ind w:right="190"/>
              <w:spacing w:after="0"/>
              <w:rPr>
                <w:sz w:val="20"/>
                <w:szCs w:val="20"/>
                <w:color w:val="auto"/>
              </w:rPr>
            </w:pPr>
            <w:r>
              <w:rPr>
                <w:rFonts w:ascii="Arial" w:cs="Arial" w:eastAsia="Arial" w:hAnsi="Arial"/>
                <w:sz w:val="15"/>
                <w:szCs w:val="15"/>
                <w:color w:val="auto"/>
              </w:rPr>
              <w:t>Prime-2</w:t>
            </w:r>
          </w:p>
        </w:tc>
        <w:tc>
          <w:tcPr>
            <w:tcW w:w="620" w:type="dxa"/>
            <w:vAlign w:val="bottom"/>
          </w:tcPr>
          <w:p>
            <w:pPr>
              <w:spacing w:after="0"/>
              <w:rPr>
                <w:sz w:val="15"/>
                <w:szCs w:val="15"/>
                <w:color w:val="auto"/>
              </w:rPr>
            </w:pPr>
          </w:p>
        </w:tc>
      </w:tr>
    </w:tbl>
    <w:p>
      <w:pPr>
        <w:spacing w:after="0" w:line="17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During the second quarter of 2012 and 2011, the Company had average borrowings outstanding of approximately $455.5 million and $401.2 million, respectively, at average annual interest rates of approximately 7.0% and 7.2%. During the second quarter of 2012 and 2011, the Company incurred ne interest expense of $8.2 million and $7.0 million, respectively.</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During the first six months of 2012 and 2011, the Company had average borrowings outstanding of approximately $472.0 million and $400.6 million, respectively, at average annual interest rates of approximately 7.0% and 7.2%. During the first six months of 2012 and 2011, the Company incurred ne interest expense of $16.3 million and $13.9 million, respectively.</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June 30, 2012 and December 31, 2011, the Company had working capital of $290.4 million and $250.1 million, respectively. The Company maintai working capital levels consistent with its underlying business requirements and consistently generates cash from operations in excess of required inter principal payments. The Company expects to fund its estimated capital needs primarily through existing cash balances and internally generated funds to a lesser extent commercial paper. In management’s opinion, the Company will have ample liquidity to meet its various cash needs throughout 2012</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Except for a lease commitment totaling $42.9 million from 2013 through 2019, there were no significant changes to the Company’s contractual obligati other commercial commitments from those disclosed in the Company’s Annual Report on Form 10-K for the year ended December 31, 2011.</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 to equity price risk; to its borrowing and cash-management activities, which are subject to interest rate risk; and to its foreign business operations, whi subject to foreign exchange rate risk. The Company’s market risk disclosures set forth in its 2011 Annual Report filed on Form 10-K have not otherwis changed significantly.</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Evaluation of Disclosure Controls and Procedures</w:t>
      </w:r>
    </w:p>
    <w:p>
      <w:pPr>
        <w:spacing w:after="0" w:line="110"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 executive officer) and the Company’s Senior Vice President-Finance (the Company’s principal financial officer), of the effectiveness of the Company’s disclosure controls and procedures (as defined in</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24" w:name="page25"/>
    <w:bookmarkEnd w:id="24"/>
    <w:p>
      <w:pPr>
        <w:ind w:left="9"/>
        <w:spacing w:after="0" w:line="230" w:lineRule="auto"/>
        <w:rPr>
          <w:sz w:val="20"/>
          <w:szCs w:val="20"/>
          <w:color w:val="auto"/>
        </w:rPr>
      </w:pPr>
      <w:r>
        <w:rPr>
          <w:rFonts w:ascii="Arial" w:cs="Arial" w:eastAsia="Arial" w:hAnsi="Arial"/>
          <w:sz w:val="17"/>
          <w:szCs w:val="17"/>
          <w:color w:val="auto"/>
        </w:rPr>
        <w:t>Exchange Act Rules 13a-15(e) and 15d-15(e)), as of June 30, 2012. Based on that evaluation, the Company’s Chief Executive Officer and Senior Vice President-Finance have concluded that the Company’s disclosure controls and procedures, as designed and implemented, are effective in ensuring th information required to be disclosed by the Company in the reports that it files or submits under the Exchange Act is recorded, processed, summarize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72"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(b) Changes in Internal Control Over Financial Reporting</w:t>
      </w:r>
    </w:p>
    <w:p>
      <w:pPr>
        <w:spacing w:after="0" w:line="160" w:lineRule="exact"/>
        <w:rPr>
          <w:sz w:val="20"/>
          <w:szCs w:val="20"/>
          <w:color w:val="auto"/>
        </w:rPr>
      </w:pPr>
    </w:p>
    <w:p>
      <w:pPr>
        <w:ind w:left="9" w:right="20"/>
        <w:spacing w:after="0" w:line="235" w:lineRule="auto"/>
        <w:rPr>
          <w:sz w:val="20"/>
          <w:szCs w:val="20"/>
          <w:color w:val="auto"/>
        </w:rPr>
      </w:pPr>
      <w:r>
        <w:rPr>
          <w:rFonts w:ascii="Arial" w:cs="Arial" w:eastAsia="Arial" w:hAnsi="Arial"/>
          <w:sz w:val="17"/>
          <w:szCs w:val="17"/>
          <w:color w:val="auto"/>
        </w:rPr>
        <w:t>There has been no change in the Company’s internal control over financial reporting during the quarter ended June 30, 2012 that has materially affect is reasonably likely to materially affect, the Company’s internal control over financial reporting.</w:t>
      </w:r>
    </w:p>
    <w:p>
      <w:pPr>
        <w:spacing w:after="0" w:line="180" w:lineRule="exact"/>
        <w:rPr>
          <w:sz w:val="20"/>
          <w:szCs w:val="20"/>
          <w:color w:val="auto"/>
        </w:rPr>
      </w:pPr>
    </w:p>
    <w:p>
      <w:pPr>
        <w:ind w:left="4489"/>
        <w:spacing w:after="0"/>
        <w:rPr>
          <w:sz w:val="20"/>
          <w:szCs w:val="20"/>
          <w:color w:val="auto"/>
        </w:rPr>
      </w:pPr>
      <w:r>
        <w:rPr>
          <w:rFonts w:ascii="Arial" w:cs="Arial" w:eastAsia="Arial" w:hAnsi="Arial"/>
          <w:sz w:val="17"/>
          <w:szCs w:val="17"/>
          <w:b w:val="1"/>
          <w:bCs w:val="1"/>
          <w:color w:val="auto"/>
        </w:rPr>
        <w:t>PART II. OTHER INFORMATION</w:t>
      </w:r>
    </w:p>
    <w:p>
      <w:pPr>
        <w:spacing w:after="0" w:line="177" w:lineRule="exact"/>
        <w:rPr>
          <w:sz w:val="20"/>
          <w:szCs w:val="20"/>
          <w:color w:val="auto"/>
        </w:rPr>
      </w:pPr>
    </w:p>
    <w:p>
      <w:pPr>
        <w:ind w:left="9"/>
        <w:spacing w:after="0"/>
        <w:tabs>
          <w:tab w:leader="none" w:pos="869"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7"/>
          <w:szCs w:val="17"/>
          <w:color w:val="auto"/>
        </w:rPr>
        <w:t>During the quarter ended June 30, 2012, the Company purchased shares of its Class B Common Stock as set forth in the following table:</w:t>
      </w:r>
    </w:p>
    <w:p>
      <w:pPr>
        <w:spacing w:after="0" w:line="162"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Pr>
          <w:p>
            <w:pPr>
              <w:jc w:val="center"/>
              <w:ind w:right="552"/>
              <w:spacing w:after="0"/>
              <w:rPr>
                <w:sz w:val="20"/>
                <w:szCs w:val="20"/>
                <w:color w:val="auto"/>
              </w:rPr>
            </w:pPr>
            <w:r>
              <w:rPr>
                <w:rFonts w:ascii="Arial" w:cs="Arial" w:eastAsia="Arial" w:hAnsi="Arial"/>
                <w:sz w:val="12"/>
                <w:szCs w:val="12"/>
                <w:b w:val="1"/>
                <w:bCs w:val="1"/>
                <w:color w:val="auto"/>
              </w:rPr>
              <w:t>Average</w:t>
            </w: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rPr>
              <w:t>Total Number of</w:t>
            </w:r>
          </w:p>
        </w:tc>
        <w:tc>
          <w:tcPr>
            <w:tcW w:w="1800" w:type="dxa"/>
            <w:vAlign w:val="bottom"/>
          </w:tcPr>
          <w:p>
            <w:pPr>
              <w:jc w:val="right"/>
              <w:spacing w:after="0"/>
              <w:rPr>
                <w:sz w:val="20"/>
                <w:szCs w:val="20"/>
                <w:color w:val="auto"/>
              </w:rPr>
            </w:pPr>
            <w:r>
              <w:rPr>
                <w:rFonts w:ascii="Arial" w:cs="Arial" w:eastAsia="Arial" w:hAnsi="Arial"/>
                <w:sz w:val="12"/>
                <w:szCs w:val="12"/>
                <w:b w:val="1"/>
                <w:bCs w:val="1"/>
                <w:color w:val="auto"/>
              </w:rPr>
              <w:t>Maximum Numbe</w:t>
            </w:r>
          </w:p>
        </w:tc>
      </w:tr>
      <w:tr>
        <w:trPr>
          <w:trHeight w:val="137"/>
        </w:trPr>
        <w:tc>
          <w:tcPr>
            <w:tcW w:w="456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Total Number</w:t>
            </w:r>
          </w:p>
        </w:tc>
        <w:tc>
          <w:tcPr>
            <w:tcW w:w="620" w:type="dxa"/>
            <w:vAlign w:val="bottom"/>
          </w:tcPr>
          <w:p>
            <w:pPr>
              <w:spacing w:after="0"/>
              <w:rPr>
                <w:sz w:val="11"/>
                <w:szCs w:val="11"/>
                <w:color w:val="auto"/>
              </w:rPr>
            </w:pPr>
          </w:p>
        </w:tc>
        <w:tc>
          <w:tcPr>
            <w:tcW w:w="1220" w:type="dxa"/>
            <w:vAlign w:val="bottom"/>
          </w:tcPr>
          <w:p>
            <w:pPr>
              <w:jc w:val="center"/>
              <w:ind w:right="552"/>
              <w:spacing w:after="0" w:line="137" w:lineRule="exact"/>
              <w:rPr>
                <w:sz w:val="20"/>
                <w:szCs w:val="20"/>
                <w:color w:val="auto"/>
              </w:rPr>
            </w:pPr>
            <w:r>
              <w:rPr>
                <w:rFonts w:ascii="Arial" w:cs="Arial" w:eastAsia="Arial" w:hAnsi="Arial"/>
                <w:sz w:val="12"/>
                <w:szCs w:val="12"/>
                <w:b w:val="1"/>
                <w:bCs w:val="1"/>
                <w:color w:val="auto"/>
              </w:rPr>
              <w:t>Price</w:t>
            </w:r>
          </w:p>
        </w:tc>
        <w:tc>
          <w:tcPr>
            <w:tcW w:w="14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Shares Purchased</w:t>
            </w:r>
          </w:p>
        </w:tc>
        <w:tc>
          <w:tcPr>
            <w:tcW w:w="18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of Shares That Ma</w:t>
            </w:r>
          </w:p>
        </w:tc>
      </w:tr>
      <w:tr>
        <w:trPr>
          <w:trHeight w:val="137"/>
        </w:trPr>
        <w:tc>
          <w:tcPr>
            <w:tcW w:w="456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of Shares</w:t>
            </w:r>
          </w:p>
        </w:tc>
        <w:tc>
          <w:tcPr>
            <w:tcW w:w="620" w:type="dxa"/>
            <w:vAlign w:val="bottom"/>
          </w:tcPr>
          <w:p>
            <w:pPr>
              <w:spacing w:after="0"/>
              <w:rPr>
                <w:sz w:val="11"/>
                <w:szCs w:val="11"/>
                <w:color w:val="auto"/>
              </w:rPr>
            </w:pPr>
          </w:p>
        </w:tc>
        <w:tc>
          <w:tcPr>
            <w:tcW w:w="1220" w:type="dxa"/>
            <w:vAlign w:val="bottom"/>
          </w:tcPr>
          <w:p>
            <w:pPr>
              <w:jc w:val="center"/>
              <w:ind w:right="552"/>
              <w:spacing w:after="0" w:line="137" w:lineRule="exact"/>
              <w:rPr>
                <w:sz w:val="20"/>
                <w:szCs w:val="20"/>
                <w:color w:val="auto"/>
              </w:rPr>
            </w:pPr>
            <w:r>
              <w:rPr>
                <w:rFonts w:ascii="Arial" w:cs="Arial" w:eastAsia="Arial" w:hAnsi="Arial"/>
                <w:sz w:val="12"/>
                <w:szCs w:val="12"/>
                <w:b w:val="1"/>
                <w:bCs w:val="1"/>
                <w:color w:val="auto"/>
              </w:rPr>
              <w:t>Paid per</w:t>
            </w:r>
          </w:p>
        </w:tc>
        <w:tc>
          <w:tcPr>
            <w:tcW w:w="14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as Part of Publicly</w:t>
            </w:r>
          </w:p>
        </w:tc>
        <w:tc>
          <w:tcPr>
            <w:tcW w:w="18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Yet BePurchased</w:t>
            </w:r>
          </w:p>
        </w:tc>
      </w:tr>
      <w:tr>
        <w:trPr>
          <w:trHeight w:val="151"/>
        </w:trPr>
        <w:tc>
          <w:tcPr>
            <w:tcW w:w="4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Purchased</w:t>
            </w: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52"/>
              <w:spacing w:after="0"/>
              <w:rPr>
                <w:sz w:val="20"/>
                <w:szCs w:val="20"/>
                <w:color w:val="auto"/>
              </w:rPr>
            </w:pPr>
            <w:r>
              <w:rPr>
                <w:rFonts w:ascii="Arial" w:cs="Arial" w:eastAsia="Arial" w:hAnsi="Arial"/>
                <w:sz w:val="12"/>
                <w:szCs w:val="12"/>
                <w:b w:val="1"/>
                <w:bCs w:val="1"/>
                <w:color w:val="auto"/>
              </w:rPr>
              <w:t>Share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Announced Plan*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Under the Plan*</w:t>
            </w:r>
          </w:p>
        </w:tc>
      </w:tr>
      <w:tr>
        <w:trPr>
          <w:trHeight w:val="168"/>
        </w:trPr>
        <w:tc>
          <w:tcPr>
            <w:tcW w:w="4560" w:type="dxa"/>
            <w:vAlign w:val="bottom"/>
          </w:tcPr>
          <w:p>
            <w:pPr>
              <w:spacing w:after="0" w:line="168" w:lineRule="exact"/>
              <w:rPr>
                <w:sz w:val="20"/>
                <w:szCs w:val="20"/>
                <w:color w:val="auto"/>
              </w:rPr>
            </w:pPr>
            <w:r>
              <w:rPr>
                <w:rFonts w:ascii="Arial" w:cs="Arial" w:eastAsia="Arial" w:hAnsi="Arial"/>
                <w:sz w:val="15"/>
                <w:szCs w:val="15"/>
                <w:color w:val="auto"/>
              </w:rPr>
              <w:t>Apr. 1 - Apr. 30, 2012</w:t>
            </w:r>
          </w:p>
        </w:tc>
        <w:tc>
          <w:tcPr>
            <w:tcW w:w="128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220" w:type="dxa"/>
            <w:vAlign w:val="bottom"/>
          </w:tcPr>
          <w:p>
            <w:pPr>
              <w:jc w:val="right"/>
              <w:ind w:right="312"/>
              <w:spacing w:after="0" w:line="168"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800" w:type="dxa"/>
            <w:vAlign w:val="bottom"/>
          </w:tcPr>
          <w:p>
            <w:pPr>
              <w:jc w:val="right"/>
              <w:spacing w:after="0" w:line="168" w:lineRule="exact"/>
              <w:rPr>
                <w:sz w:val="20"/>
                <w:szCs w:val="20"/>
                <w:color w:val="auto"/>
              </w:rPr>
            </w:pPr>
            <w:r>
              <w:rPr>
                <w:rFonts w:ascii="Arial" w:cs="Arial" w:eastAsia="Arial" w:hAnsi="Arial"/>
                <w:sz w:val="15"/>
                <w:szCs w:val="15"/>
                <w:color w:val="auto"/>
              </w:rPr>
              <w:t>4</w:t>
            </w:r>
          </w:p>
        </w:tc>
      </w:tr>
      <w:tr>
        <w:trPr>
          <w:trHeight w:val="174"/>
        </w:trPr>
        <w:tc>
          <w:tcPr>
            <w:tcW w:w="4560" w:type="dxa"/>
            <w:vAlign w:val="bottom"/>
          </w:tcPr>
          <w:p>
            <w:pPr>
              <w:spacing w:after="0"/>
              <w:rPr>
                <w:sz w:val="20"/>
                <w:szCs w:val="20"/>
                <w:color w:val="auto"/>
              </w:rPr>
            </w:pPr>
            <w:r>
              <w:rPr>
                <w:rFonts w:ascii="Arial" w:cs="Arial" w:eastAsia="Arial" w:hAnsi="Arial"/>
                <w:sz w:val="15"/>
                <w:szCs w:val="15"/>
                <w:color w:val="auto"/>
              </w:rPr>
              <w:t>May. 1 - May. 31, 2012</w:t>
            </w:r>
          </w:p>
        </w:tc>
        <w:tc>
          <w:tcPr>
            <w:tcW w:w="1280" w:type="dxa"/>
            <w:vAlign w:val="bottom"/>
          </w:tcPr>
          <w:p>
            <w:pPr>
              <w:jc w:val="right"/>
              <w:spacing w:after="0"/>
              <w:rPr>
                <w:sz w:val="20"/>
                <w:szCs w:val="20"/>
                <w:color w:val="auto"/>
              </w:rPr>
            </w:pPr>
            <w:r>
              <w:rPr>
                <w:rFonts w:ascii="Arial" w:cs="Arial" w:eastAsia="Arial" w:hAnsi="Arial"/>
                <w:sz w:val="15"/>
                <w:szCs w:val="15"/>
                <w:color w:val="auto"/>
              </w:rPr>
              <w:t>157,451</w:t>
            </w:r>
          </w:p>
        </w:tc>
        <w:tc>
          <w:tcPr>
            <w:tcW w:w="620" w:type="dxa"/>
            <w:vAlign w:val="bottom"/>
          </w:tcPr>
          <w:p>
            <w:pPr>
              <w:spacing w:after="0"/>
              <w:rPr>
                <w:sz w:val="15"/>
                <w:szCs w:val="15"/>
                <w:color w:val="auto"/>
              </w:rPr>
            </w:pPr>
          </w:p>
        </w:tc>
        <w:tc>
          <w:tcPr>
            <w:tcW w:w="1220" w:type="dxa"/>
            <w:vAlign w:val="bottom"/>
          </w:tcPr>
          <w:p>
            <w:pPr>
              <w:jc w:val="right"/>
              <w:ind w:right="312"/>
              <w:spacing w:after="0"/>
              <w:rPr>
                <w:sz w:val="20"/>
                <w:szCs w:val="20"/>
                <w:color w:val="auto"/>
              </w:rPr>
            </w:pPr>
            <w:r>
              <w:rPr>
                <w:rFonts w:ascii="Arial" w:cs="Arial" w:eastAsia="Arial" w:hAnsi="Arial"/>
                <w:sz w:val="15"/>
                <w:szCs w:val="15"/>
                <w:color w:val="auto"/>
              </w:rPr>
              <w:t>338.34</w:t>
            </w:r>
          </w:p>
        </w:tc>
        <w:tc>
          <w:tcPr>
            <w:tcW w:w="1460" w:type="dxa"/>
            <w:vAlign w:val="bottom"/>
          </w:tcPr>
          <w:p>
            <w:pPr>
              <w:jc w:val="right"/>
              <w:spacing w:after="0"/>
              <w:rPr>
                <w:sz w:val="20"/>
                <w:szCs w:val="20"/>
                <w:color w:val="auto"/>
              </w:rPr>
            </w:pPr>
            <w:r>
              <w:rPr>
                <w:rFonts w:ascii="Arial" w:cs="Arial" w:eastAsia="Arial" w:hAnsi="Arial"/>
                <w:sz w:val="15"/>
                <w:szCs w:val="15"/>
                <w:color w:val="auto"/>
              </w:rPr>
              <w:t>157,451</w:t>
            </w:r>
          </w:p>
        </w:tc>
        <w:tc>
          <w:tcPr>
            <w:tcW w:w="18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2"/>
        </w:trPr>
        <w:tc>
          <w:tcPr>
            <w:tcW w:w="4560" w:type="dxa"/>
            <w:vAlign w:val="bottom"/>
          </w:tcPr>
          <w:p>
            <w:pPr>
              <w:spacing w:after="0"/>
              <w:rPr>
                <w:sz w:val="20"/>
                <w:szCs w:val="20"/>
                <w:color w:val="auto"/>
              </w:rPr>
            </w:pPr>
            <w:r>
              <w:rPr>
                <w:rFonts w:ascii="Arial" w:cs="Arial" w:eastAsia="Arial" w:hAnsi="Arial"/>
                <w:sz w:val="15"/>
                <w:szCs w:val="15"/>
                <w:color w:val="auto"/>
              </w:rPr>
              <w:t>Jun. 1 - Jun. 30, 2012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60,431</w:t>
            </w:r>
          </w:p>
        </w:tc>
        <w:tc>
          <w:tcPr>
            <w:tcW w:w="620" w:type="dxa"/>
            <w:vAlign w:val="bottom"/>
          </w:tcPr>
          <w:p>
            <w:pPr>
              <w:spacing w:after="0"/>
              <w:rPr>
                <w:sz w:val="14"/>
                <w:szCs w:val="14"/>
                <w:color w:val="auto"/>
              </w:rPr>
            </w:pPr>
          </w:p>
        </w:tc>
        <w:tc>
          <w:tcPr>
            <w:tcW w:w="1220" w:type="dxa"/>
            <w:vAlign w:val="bottom"/>
          </w:tcPr>
          <w:p>
            <w:pPr>
              <w:jc w:val="right"/>
              <w:ind w:right="312"/>
              <w:spacing w:after="0"/>
              <w:rPr>
                <w:sz w:val="20"/>
                <w:szCs w:val="20"/>
                <w:color w:val="auto"/>
              </w:rPr>
            </w:pPr>
            <w:r>
              <w:rPr>
                <w:rFonts w:ascii="Arial" w:cs="Arial" w:eastAsia="Arial" w:hAnsi="Arial"/>
                <w:sz w:val="15"/>
                <w:szCs w:val="15"/>
                <w:color w:val="auto"/>
              </w:rPr>
              <w:t>348.38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60,431</w:t>
            </w:r>
          </w:p>
        </w:tc>
        <w:tc>
          <w:tcPr>
            <w:tcW w:w="18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3"/>
        </w:trPr>
        <w:tc>
          <w:tcPr>
            <w:tcW w:w="45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217,882</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12"/>
              <w:spacing w:after="0"/>
              <w:rPr>
                <w:sz w:val="20"/>
                <w:szCs w:val="20"/>
                <w:color w:val="auto"/>
              </w:rPr>
            </w:pPr>
            <w:r>
              <w:rPr>
                <w:rFonts w:ascii="Arial" w:cs="Arial" w:eastAsia="Arial" w:hAnsi="Arial"/>
                <w:sz w:val="15"/>
                <w:szCs w:val="15"/>
                <w:color w:val="auto"/>
              </w:rPr>
              <w:t>341.13</w:t>
            </w:r>
          </w:p>
        </w:tc>
        <w:tc>
          <w:tcPr>
            <w:tcW w:w="1460" w:type="dxa"/>
            <w:vAlign w:val="bottom"/>
          </w:tcPr>
          <w:p>
            <w:pPr>
              <w:jc w:val="right"/>
              <w:spacing w:after="0"/>
              <w:rPr>
                <w:sz w:val="20"/>
                <w:szCs w:val="20"/>
                <w:color w:val="auto"/>
              </w:rPr>
            </w:pPr>
            <w:r>
              <w:rPr>
                <w:rFonts w:ascii="Arial" w:cs="Arial" w:eastAsia="Arial" w:hAnsi="Arial"/>
                <w:sz w:val="15"/>
                <w:szCs w:val="15"/>
                <w:color w:val="auto"/>
              </w:rPr>
              <w:t>217,882</w:t>
            </w:r>
          </w:p>
        </w:tc>
        <w:tc>
          <w:tcPr>
            <w:tcW w:w="1800" w:type="dxa"/>
            <w:vAlign w:val="bottom"/>
          </w:tcPr>
          <w:p>
            <w:pPr>
              <w:spacing w:after="0"/>
              <w:rPr>
                <w:sz w:val="15"/>
                <w:szCs w:val="15"/>
                <w:color w:val="auto"/>
              </w:rPr>
            </w:pPr>
          </w:p>
        </w:tc>
      </w:tr>
    </w:tbl>
    <w:p>
      <w:pPr>
        <w:spacing w:after="0" w:line="179" w:lineRule="exact"/>
        <w:rPr>
          <w:sz w:val="20"/>
          <w:szCs w:val="20"/>
          <w:color w:val="auto"/>
        </w:rPr>
      </w:pPr>
    </w:p>
    <w:p>
      <w:pPr>
        <w:jc w:val="both"/>
        <w:ind w:left="209" w:hanging="209"/>
        <w:spacing w:after="0" w:line="233" w:lineRule="auto"/>
        <w:tabs>
          <w:tab w:leader="none" w:pos="209"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September 8, 2011, the Company’s Board of Directors authorized the Company to purchase, on the open market or otherwise, up to 750,000 sh of its Class B Common Stock. There is no expiration date for that authorization. All purchases made during the quarter ended June 30, 2012 were o market transactions.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47" w:right="1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tbl>
      <w:tblPr>
        <w:tblLayout w:type="fixed"/>
        <w:tblInd w:w="9" w:type="dxa"/>
        <w:tblCellMar>
          <w:top w:w="0" w:type="dxa"/>
          <w:left w:w="0" w:type="dxa"/>
          <w:bottom w:w="0" w:type="dxa"/>
          <w:right w:w="0" w:type="dxa"/>
        </w:tblCellMar>
      </w:tblPr>
      <w:tr>
        <w:trPr>
          <w:trHeight w:val="197"/>
        </w:trPr>
        <w:tc>
          <w:tcPr>
            <w:tcW w:w="860" w:type="dxa"/>
            <w:vAlign w:val="bottom"/>
          </w:tcPr>
          <w:p>
            <w:pPr>
              <w:jc w:val="right"/>
              <w:ind w:right="326"/>
              <w:spacing w:after="0"/>
              <w:rPr>
                <w:sz w:val="20"/>
                <w:szCs w:val="20"/>
                <w:color w:val="auto"/>
              </w:rPr>
            </w:pPr>
            <w:r>
              <w:rPr>
                <w:rFonts w:ascii="Arial" w:cs="Arial" w:eastAsia="Arial" w:hAnsi="Arial"/>
                <w:sz w:val="15"/>
                <w:szCs w:val="15"/>
                <w:b w:val="1"/>
                <w:bCs w:val="1"/>
                <w:color w:val="auto"/>
                <w:w w:val="92"/>
              </w:rPr>
              <w:t>Item 6.</w:t>
            </w:r>
          </w:p>
        </w:tc>
        <w:tc>
          <w:tcPr>
            <w:tcW w:w="10080" w:type="dxa"/>
            <w:vAlign w:val="bottom"/>
            <w:gridSpan w:val="3"/>
          </w:tcPr>
          <w:p>
            <w:pPr>
              <w:ind w:left="100"/>
              <w:spacing w:after="0"/>
              <w:rPr>
                <w:sz w:val="20"/>
                <w:szCs w:val="20"/>
                <w:color w:val="auto"/>
              </w:rPr>
            </w:pPr>
            <w:r>
              <w:rPr>
                <w:rFonts w:ascii="Arial" w:cs="Arial" w:eastAsia="Arial" w:hAnsi="Arial"/>
                <w:sz w:val="15"/>
                <w:szCs w:val="15"/>
                <w:b w:val="1"/>
                <w:bCs w:val="1"/>
                <w:color w:val="auto"/>
              </w:rPr>
              <w:t>Exhibits.</w:t>
            </w:r>
          </w:p>
        </w:tc>
        <w:tc>
          <w:tcPr>
            <w:tcW w:w="0" w:type="dxa"/>
            <w:vAlign w:val="bottom"/>
          </w:tcPr>
          <w:p>
            <w:pPr>
              <w:spacing w:after="0"/>
              <w:rPr>
                <w:sz w:val="1"/>
                <w:szCs w:val="1"/>
                <w:color w:val="auto"/>
              </w:rPr>
            </w:pPr>
          </w:p>
        </w:tc>
      </w:tr>
      <w:tr>
        <w:trPr>
          <w:trHeight w:val="478"/>
        </w:trPr>
        <w:tc>
          <w:tcPr>
            <w:tcW w:w="860" w:type="dxa"/>
            <w:vAlign w:val="bottom"/>
          </w:tcPr>
          <w:p>
            <w:pPr>
              <w:jc w:val="right"/>
              <w:ind w:right="66"/>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vMerge w:val="restart"/>
          </w:tcPr>
          <w:p>
            <w:pPr>
              <w:ind w:left="474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rPr>
              <w:t>Number</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8"/>
        </w:trPr>
        <w:tc>
          <w:tcPr>
            <w:tcW w:w="860" w:type="dxa"/>
            <w:vAlign w:val="bottom"/>
          </w:tcPr>
          <w:p>
            <w:pPr>
              <w:jc w:val="right"/>
              <w:ind w:right="426"/>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Restated Certificate of Incorporation of the Company dated November 13, 2003 (incorporated by reference to Exhibit 3.1 to the Company’s Annual R</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on Form 10-K for the fiscal year ended December 28, 2003).</w:t>
            </w:r>
          </w:p>
        </w:tc>
        <w:tc>
          <w:tcPr>
            <w:tcW w:w="0" w:type="dxa"/>
            <w:vAlign w:val="bottom"/>
          </w:tcPr>
          <w:p>
            <w:pPr>
              <w:spacing w:after="0"/>
              <w:rPr>
                <w:sz w:val="1"/>
                <w:szCs w:val="1"/>
                <w:color w:val="auto"/>
              </w:rPr>
            </w:pPr>
          </w:p>
        </w:tc>
      </w:tr>
      <w:tr>
        <w:trPr>
          <w:trHeight w:val="342"/>
        </w:trPr>
        <w:tc>
          <w:tcPr>
            <w:tcW w:w="860" w:type="dxa"/>
            <w:vAlign w:val="bottom"/>
          </w:tcPr>
          <w:p>
            <w:pPr>
              <w:jc w:val="right"/>
              <w:ind w:right="426"/>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Certificate of Designation for the Company’s Series A Preferred Stock dated September 22, 2003 (incorporated by reference to Exhibit 3.2 to Amend</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No. 1 to the Company’s Current Report on Form 8-K dated September 22, 2003).</w:t>
            </w:r>
          </w:p>
        </w:tc>
        <w:tc>
          <w:tcPr>
            <w:tcW w:w="0" w:type="dxa"/>
            <w:vAlign w:val="bottom"/>
          </w:tcPr>
          <w:p>
            <w:pPr>
              <w:spacing w:after="0"/>
              <w:rPr>
                <w:sz w:val="1"/>
                <w:szCs w:val="1"/>
                <w:color w:val="auto"/>
              </w:rPr>
            </w:pPr>
          </w:p>
        </w:tc>
      </w:tr>
      <w:tr>
        <w:trPr>
          <w:trHeight w:val="342"/>
        </w:trPr>
        <w:tc>
          <w:tcPr>
            <w:tcW w:w="860" w:type="dxa"/>
            <w:vAlign w:val="bottom"/>
          </w:tcPr>
          <w:p>
            <w:pPr>
              <w:jc w:val="right"/>
              <w:ind w:right="426"/>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By-Laws of the Company as amended and restated through November 8, 2007 (incorporated by reference to Exhibit 3.1 to the Company’s Current R</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on Form 8-K dated November 14, 2007).</w:t>
            </w:r>
          </w:p>
        </w:tc>
        <w:tc>
          <w:tcPr>
            <w:tcW w:w="0" w:type="dxa"/>
            <w:vAlign w:val="bottom"/>
          </w:tcPr>
          <w:p>
            <w:pPr>
              <w:spacing w:after="0"/>
              <w:rPr>
                <w:sz w:val="1"/>
                <w:szCs w:val="1"/>
                <w:color w:val="auto"/>
              </w:rPr>
            </w:pPr>
          </w:p>
        </w:tc>
      </w:tr>
      <w:tr>
        <w:trPr>
          <w:trHeight w:val="342"/>
        </w:trPr>
        <w:tc>
          <w:tcPr>
            <w:tcW w:w="860" w:type="dxa"/>
            <w:vAlign w:val="bottom"/>
          </w:tcPr>
          <w:p>
            <w:pPr>
              <w:jc w:val="right"/>
              <w:ind w:right="426"/>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Second Supplemental Indenture dated January 30, 2009, between the Company and The Bank of New York Mellon Trust Company, N.A., as success</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The First National Bank of Chicago, as Trustee (incorporated by reference to Exhibit 10.2 to the Company’s Current Report on Form 8-K dated Janua</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0080" w:type="dxa"/>
            <w:vAlign w:val="bottom"/>
            <w:gridSpan w:val="3"/>
          </w:tcPr>
          <w:p>
            <w:pPr>
              <w:ind w:left="280"/>
              <w:spacing w:after="0"/>
              <w:rPr>
                <w:sz w:val="20"/>
                <w:szCs w:val="20"/>
                <w:color w:val="auto"/>
              </w:rPr>
            </w:pPr>
            <w:r>
              <w:rPr>
                <w:rFonts w:ascii="Arial" w:cs="Arial" w:eastAsia="Arial" w:hAnsi="Arial"/>
                <w:sz w:val="15"/>
                <w:szCs w:val="15"/>
                <w:color w:val="auto"/>
              </w:rPr>
              <w:t>2009).</w:t>
            </w:r>
          </w:p>
        </w:tc>
        <w:tc>
          <w:tcPr>
            <w:tcW w:w="0" w:type="dxa"/>
            <w:vAlign w:val="bottom"/>
          </w:tcPr>
          <w:p>
            <w:pPr>
              <w:spacing w:after="0"/>
              <w:rPr>
                <w:sz w:val="1"/>
                <w:szCs w:val="1"/>
                <w:color w:val="auto"/>
              </w:rPr>
            </w:pPr>
          </w:p>
        </w:tc>
      </w:tr>
      <w:tr>
        <w:trPr>
          <w:trHeight w:val="342"/>
        </w:trPr>
        <w:tc>
          <w:tcPr>
            <w:tcW w:w="860" w:type="dxa"/>
            <w:vAlign w:val="bottom"/>
          </w:tcPr>
          <w:p>
            <w:pPr>
              <w:jc w:val="right"/>
              <w:ind w:right="426"/>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Four Year Credit Agreement, dated as of June 17, 2011, among the Company, JPMorgan Chase Bank, N.A., J.P. Morgan Australia Limited, Wells Far</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Bank, N.A., The Royal Bank of Scotland PLC, HSBC Bank USA, National Association, The Bank of New York Mellon, PNC Bank, National Associatio</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Bank of America, N.A., Citibank, N.A. and The Northern Trust Company (incorporated by reference to Exhibit 10.1 to the Company’s Current Report o</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Form 8-K dated June 17, 2011).</w:t>
            </w:r>
          </w:p>
        </w:tc>
        <w:tc>
          <w:tcPr>
            <w:tcW w:w="0" w:type="dxa"/>
            <w:vAlign w:val="bottom"/>
          </w:tcPr>
          <w:p>
            <w:pPr>
              <w:spacing w:after="0"/>
              <w:rPr>
                <w:sz w:val="1"/>
                <w:szCs w:val="1"/>
                <w:color w:val="auto"/>
              </w:rPr>
            </w:pPr>
          </w:p>
        </w:tc>
      </w:tr>
      <w:tr>
        <w:trPr>
          <w:trHeight w:val="347"/>
        </w:trPr>
        <w:tc>
          <w:tcPr>
            <w:tcW w:w="860" w:type="dxa"/>
            <w:vAlign w:val="bottom"/>
          </w:tcPr>
          <w:p>
            <w:pPr>
              <w:jc w:val="right"/>
              <w:ind w:right="426"/>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The Washington Post Company 2012 Incentive Compensation Plan, effective May 10, 2012.</w:t>
            </w:r>
          </w:p>
        </w:tc>
        <w:tc>
          <w:tcPr>
            <w:tcW w:w="0" w:type="dxa"/>
            <w:vAlign w:val="bottom"/>
          </w:tcPr>
          <w:p>
            <w:pPr>
              <w:spacing w:after="0"/>
              <w:rPr>
                <w:sz w:val="1"/>
                <w:szCs w:val="1"/>
                <w:color w:val="auto"/>
              </w:rPr>
            </w:pPr>
          </w:p>
        </w:tc>
      </w:tr>
      <w:tr>
        <w:trPr>
          <w:trHeight w:val="347"/>
        </w:trPr>
        <w:tc>
          <w:tcPr>
            <w:tcW w:w="860" w:type="dxa"/>
            <w:vAlign w:val="bottom"/>
          </w:tcPr>
          <w:p>
            <w:pPr>
              <w:jc w:val="right"/>
              <w:ind w:right="426"/>
              <w:spacing w:after="0"/>
              <w:rPr>
                <w:sz w:val="20"/>
                <w:szCs w:val="20"/>
                <w:color w:val="auto"/>
              </w:rPr>
            </w:pPr>
            <w:r>
              <w:rPr>
                <w:rFonts w:ascii="Arial" w:cs="Arial" w:eastAsia="Arial" w:hAnsi="Arial"/>
                <w:sz w:val="15"/>
                <w:szCs w:val="15"/>
                <w:color w:val="auto"/>
              </w:rPr>
              <w:t>31.1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Executive Officer.</w:t>
            </w:r>
          </w:p>
        </w:tc>
        <w:tc>
          <w:tcPr>
            <w:tcW w:w="0" w:type="dxa"/>
            <w:vAlign w:val="bottom"/>
          </w:tcPr>
          <w:p>
            <w:pPr>
              <w:spacing w:after="0"/>
              <w:rPr>
                <w:sz w:val="1"/>
                <w:szCs w:val="1"/>
                <w:color w:val="auto"/>
              </w:rPr>
            </w:pPr>
          </w:p>
        </w:tc>
      </w:tr>
      <w:tr>
        <w:trPr>
          <w:trHeight w:val="347"/>
        </w:trPr>
        <w:tc>
          <w:tcPr>
            <w:tcW w:w="860" w:type="dxa"/>
            <w:vAlign w:val="bottom"/>
          </w:tcPr>
          <w:p>
            <w:pPr>
              <w:jc w:val="right"/>
              <w:ind w:right="426"/>
              <w:spacing w:after="0"/>
              <w:rPr>
                <w:sz w:val="20"/>
                <w:szCs w:val="20"/>
                <w:color w:val="auto"/>
              </w:rPr>
            </w:pPr>
            <w:r>
              <w:rPr>
                <w:rFonts w:ascii="Arial" w:cs="Arial" w:eastAsia="Arial" w:hAnsi="Arial"/>
                <w:sz w:val="15"/>
                <w:szCs w:val="15"/>
                <w:color w:val="auto"/>
              </w:rPr>
              <w:t>31.2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Financial Officer.</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Section 1350 Certification of the Chief Executive Officer and the Chief Financial Officer.</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101.INS</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Instance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101.SCH</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101.CAL</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101.DEF</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101.LAB</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101.PRE</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2340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0610" cy="7620"/>
                    </a:xfrm>
                    <a:prstGeom prst="rect">
                      <a:avLst/>
                    </a:prstGeom>
                    <a:noFill/>
                  </pic:spPr>
                </pic:pic>
              </a:graphicData>
            </a:graphic>
          </wp:anchor>
        </w:drawing>
      </w:r>
    </w:p>
    <w:p>
      <w:pPr>
        <w:spacing w:after="0" w:line="347" w:lineRule="exact"/>
        <w:rPr>
          <w:sz w:val="20"/>
          <w:szCs w:val="20"/>
          <w:color w:val="auto"/>
        </w:rPr>
      </w:pPr>
    </w:p>
    <w:p>
      <w:pPr>
        <w:jc w:val="both"/>
        <w:ind w:left="9" w:hanging="9"/>
        <w:spacing w:after="0" w:line="243" w:lineRule="auto"/>
        <w:tabs>
          <w:tab w:leader="none" w:pos="108" w:val="left"/>
        </w:tabs>
        <w:numPr>
          <w:ilvl w:val="0"/>
          <w:numId w:val="11"/>
        </w:numPr>
        <w:rPr>
          <w:rFonts w:ascii="Arial" w:cs="Arial" w:eastAsia="Arial" w:hAnsi="Arial"/>
          <w:sz w:val="15"/>
          <w:szCs w:val="15"/>
          <w:color w:val="auto"/>
        </w:rPr>
      </w:pPr>
      <w:r>
        <w:rPr>
          <w:rFonts w:ascii="Arial" w:cs="Arial" w:eastAsia="Arial" w:hAnsi="Arial"/>
          <w:sz w:val="15"/>
          <w:szCs w:val="15"/>
          <w:color w:val="auto"/>
        </w:rPr>
        <w:t>Attached as Exhibit 101 to this report are the following documents formatted in XBRL (Extensible Business Reporting Language): (i) Condensed Consolidated Statem of Operations for the Three and Six Months Ended June 30, 2012 and July 3, 2011, (ii) Condensed Consolidated Statements of Comprehensive Income for Three and Months Ended June 30, 2012 and July 3, 2011, (iii) Condensed Consolidated Balance Sheets at June 30, 2012 and December 31, 2011, (iv) Condensed Consolidated Statements of Cash Flows for Six Months Ended June 30, 2012 and July 3, 2011, and (v) Notes to Condensed Consolidated Financial Statements. Pursuant to Rule 4 Regulation S-T, these interactive data files are deemed “furnished” and not “filed” or part of a registration statement or prospectus for purposes of Sections 11 or 12 of Securities Act of 1933, are deemed “furnished” and not “filed” for purposes of Section 18 of the Securities Exchange Act of 1934, and otherwise are not subject to liabil under these sections.</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23" w:right="1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5040"/>
        <w:spacing w:after="0"/>
        <w:rPr>
          <w:sz w:val="20"/>
          <w:szCs w:val="20"/>
          <w:color w:val="auto"/>
        </w:rPr>
      </w:pPr>
      <w:r>
        <w:rPr>
          <w:rFonts w:ascii="Arial" w:cs="Arial" w:eastAsia="Arial" w:hAnsi="Arial"/>
          <w:sz w:val="20"/>
          <w:szCs w:val="20"/>
          <w:b w:val="1"/>
          <w:bCs w:val="1"/>
          <w:color w:val="auto"/>
        </w:rPr>
        <w:t>.SIGNATURES</w:t>
      </w:r>
    </w:p>
    <w:p>
      <w:pPr>
        <w:spacing w:after="0" w:line="172"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THE WASHINGTON POST COMPANY</w:t>
      </w:r>
    </w:p>
    <w:p>
      <w:pPr>
        <w:ind w:left="9100"/>
        <w:spacing w:after="0"/>
        <w:rPr>
          <w:sz w:val="20"/>
          <w:szCs w:val="20"/>
          <w:color w:val="auto"/>
        </w:rPr>
      </w:pPr>
      <w:r>
        <w:rPr>
          <w:rFonts w:ascii="Arial" w:cs="Arial" w:eastAsia="Arial" w:hAnsi="Arial"/>
          <w:sz w:val="17"/>
          <w:szCs w:val="17"/>
          <w:color w:val="auto"/>
        </w:rPr>
        <w:t>(Registrant)</w:t>
      </w:r>
    </w:p>
    <w:p>
      <w:pPr>
        <w:spacing w:after="0" w:line="214" w:lineRule="exact"/>
        <w:rPr>
          <w:sz w:val="20"/>
          <w:szCs w:val="20"/>
          <w:color w:val="auto"/>
        </w:rPr>
      </w:pPr>
    </w:p>
    <w:p>
      <w:pPr>
        <w:spacing w:after="0"/>
        <w:tabs>
          <w:tab w:leader="none" w:pos="8720" w:val="left"/>
        </w:tabs>
        <w:rPr>
          <w:sz w:val="20"/>
          <w:szCs w:val="20"/>
          <w:color w:val="auto"/>
        </w:rPr>
      </w:pPr>
      <w:r>
        <w:rPr>
          <w:rFonts w:ascii="Arial" w:cs="Arial" w:eastAsia="Arial" w:hAnsi="Arial"/>
          <w:sz w:val="17"/>
          <w:szCs w:val="17"/>
          <w:color w:val="auto"/>
        </w:rPr>
        <w:t>Date: August 7, 2012</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-5080</wp:posOffset>
            </wp:positionV>
            <wp:extent cx="208343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83435" cy="7620"/>
                    </a:xfrm>
                    <a:prstGeom prst="rect">
                      <a:avLst/>
                    </a:prstGeom>
                    <a:noFill/>
                  </pic:spPr>
                </pic:pic>
              </a:graphicData>
            </a:graphic>
          </wp:anchor>
        </w:drawing>
      </w:r>
    </w:p>
    <w:p>
      <w:pPr>
        <w:spacing w:after="0" w:line="59"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Donald E. Graham,</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Chairman &amp; Chief Executive Officer</w:t>
      </w:r>
    </w:p>
    <w:p>
      <w:pPr>
        <w:jc w:val="center"/>
        <w:ind w:left="8820"/>
        <w:spacing w:after="0"/>
        <w:rPr>
          <w:sz w:val="20"/>
          <w:szCs w:val="20"/>
          <w:color w:val="auto"/>
        </w:rPr>
      </w:pPr>
      <w:r>
        <w:rPr>
          <w:rFonts w:ascii="Arial" w:cs="Arial" w:eastAsia="Arial" w:hAnsi="Arial"/>
          <w:sz w:val="13"/>
          <w:szCs w:val="13"/>
          <w:b w:val="1"/>
          <w:bCs w:val="1"/>
          <w:color w:val="auto"/>
        </w:rPr>
        <w:t>(Principal Executive Officer)</w:t>
      </w:r>
    </w:p>
    <w:p>
      <w:pPr>
        <w:spacing w:after="0" w:line="230" w:lineRule="exact"/>
        <w:rPr>
          <w:sz w:val="20"/>
          <w:szCs w:val="20"/>
          <w:color w:val="auto"/>
        </w:rPr>
      </w:pPr>
    </w:p>
    <w:p>
      <w:pPr>
        <w:spacing w:after="0"/>
        <w:tabs>
          <w:tab w:leader="none" w:pos="8940" w:val="left"/>
        </w:tabs>
        <w:rPr>
          <w:sz w:val="20"/>
          <w:szCs w:val="20"/>
          <w:color w:val="auto"/>
        </w:rPr>
      </w:pPr>
      <w:r>
        <w:rPr>
          <w:rFonts w:ascii="Arial" w:cs="Arial" w:eastAsia="Arial" w:hAnsi="Arial"/>
          <w:sz w:val="17"/>
          <w:szCs w:val="17"/>
          <w:color w:val="auto"/>
        </w:rPr>
        <w:t>Date: August 7, 2012</w:t>
      </w:r>
      <w:r>
        <w:rPr>
          <w:sz w:val="20"/>
          <w:szCs w:val="20"/>
          <w:color w:val="auto"/>
        </w:rPr>
        <w:tab/>
      </w:r>
      <w:r>
        <w:rPr>
          <w:rFonts w:ascii="Arial" w:cs="Arial" w:eastAsia="Arial" w:hAnsi="Arial"/>
          <w:sz w:val="16"/>
          <w:szCs w:val="16"/>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-5080</wp:posOffset>
            </wp:positionV>
            <wp:extent cx="20834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83435" cy="7620"/>
                    </a:xfrm>
                    <a:prstGeom prst="rect">
                      <a:avLst/>
                    </a:prstGeom>
                    <a:noFill/>
                  </pic:spPr>
                </pic:pic>
              </a:graphicData>
            </a:graphic>
          </wp:anchor>
        </w:drawing>
      </w:r>
    </w:p>
    <w:p>
      <w:pPr>
        <w:spacing w:after="0" w:line="84"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Hal S. Jones,</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Senior Vice President-Finance</w:t>
      </w:r>
    </w:p>
    <w:p>
      <w:pPr>
        <w:jc w:val="center"/>
        <w:ind w:left="8820"/>
        <w:spacing w:after="0"/>
        <w:rPr>
          <w:sz w:val="20"/>
          <w:szCs w:val="20"/>
          <w:color w:val="auto"/>
        </w:rPr>
      </w:pPr>
      <w:r>
        <w:rPr>
          <w:rFonts w:ascii="Arial" w:cs="Arial" w:eastAsia="Arial" w:hAnsi="Arial"/>
          <w:sz w:val="13"/>
          <w:szCs w:val="13"/>
          <w:b w:val="1"/>
          <w:bCs w:val="1"/>
          <w:color w:val="auto"/>
        </w:rPr>
        <w:t>(Principal Financial Officer)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660"/>
          </w:cols>
          <w:pgMar w:left="820" w:top="110" w:right="41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7"/>
          <w:szCs w:val="17"/>
          <w:b w:val="1"/>
          <w:bCs w:val="1"/>
          <w:color w:val="auto"/>
        </w:rPr>
        <w:t>Exhib</w:t>
      </w:r>
    </w:p>
    <w:p>
      <w:pPr>
        <w:spacing w:after="0" w:line="140"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2012 INCENTIVE COMPENSATION PLAN</w:t>
      </w:r>
    </w:p>
    <w:p>
      <w:pPr>
        <w:jc w:val="center"/>
        <w:ind w:left="1160"/>
        <w:spacing w:after="0"/>
        <w:rPr>
          <w:sz w:val="20"/>
          <w:szCs w:val="20"/>
          <w:color w:val="auto"/>
        </w:rPr>
      </w:pPr>
      <w:r>
        <w:rPr>
          <w:rFonts w:ascii="Arial" w:cs="Arial" w:eastAsia="Arial" w:hAnsi="Arial"/>
          <w:sz w:val="17"/>
          <w:szCs w:val="17"/>
          <w:b w:val="1"/>
          <w:bCs w:val="1"/>
          <w:color w:val="auto"/>
        </w:rPr>
        <w:t>(Dated of as February 23, 2012)</w:t>
      </w:r>
    </w:p>
    <w:p>
      <w:pPr>
        <w:spacing w:after="0" w:line="140" w:lineRule="exact"/>
        <w:rPr>
          <w:sz w:val="20"/>
          <w:szCs w:val="20"/>
          <w:color w:val="auto"/>
        </w:rPr>
      </w:pPr>
    </w:p>
    <w:p>
      <w:pPr>
        <w:ind w:left="690" w:hanging="690"/>
        <w:spacing w:after="0"/>
        <w:tabs>
          <w:tab w:leader="none" w:pos="69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Purpose of the Plan</w:t>
      </w:r>
    </w:p>
    <w:p>
      <w:pPr>
        <w:spacing w:after="0" w:line="140" w:lineRule="exact"/>
        <w:rPr>
          <w:sz w:val="20"/>
          <w:szCs w:val="20"/>
          <w:color w:val="auto"/>
        </w:rPr>
      </w:pPr>
    </w:p>
    <w:p>
      <w:pPr>
        <w:jc w:val="both"/>
        <w:ind w:left="10" w:firstLine="709"/>
        <w:spacing w:after="0" w:line="233" w:lineRule="auto"/>
        <w:rPr>
          <w:sz w:val="20"/>
          <w:szCs w:val="20"/>
          <w:color w:val="auto"/>
        </w:rPr>
      </w:pPr>
      <w:r>
        <w:rPr>
          <w:rFonts w:ascii="Arial" w:cs="Arial" w:eastAsia="Arial" w:hAnsi="Arial"/>
          <w:sz w:val="17"/>
          <w:szCs w:val="17"/>
          <w:color w:val="auto"/>
        </w:rPr>
        <w:t>This Plan is intended to promote the interests of the Company and its shareholders by providing the employees and directors of the Compan incentives and rewards to encourage them to continue in the service of the Company and with a proprietary interest in pursuing the long-term growth, profitability and financial success of the Company.</w:t>
      </w:r>
    </w:p>
    <w:p>
      <w:pPr>
        <w:spacing w:after="0" w:line="138" w:lineRule="exact"/>
        <w:rPr>
          <w:sz w:val="20"/>
          <w:szCs w:val="20"/>
          <w:color w:val="auto"/>
        </w:rPr>
      </w:pPr>
    </w:p>
    <w:p>
      <w:pPr>
        <w:ind w:left="690" w:hanging="690"/>
        <w:spacing w:after="0"/>
        <w:tabs>
          <w:tab w:leader="none" w:pos="69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140" w:lineRule="exact"/>
        <w:rPr>
          <w:sz w:val="20"/>
          <w:szCs w:val="20"/>
          <w:color w:val="auto"/>
        </w:rPr>
      </w:pPr>
    </w:p>
    <w:p>
      <w:pPr>
        <w:ind w:left="710"/>
        <w:spacing w:after="0"/>
        <w:rPr>
          <w:sz w:val="20"/>
          <w:szCs w:val="20"/>
          <w:color w:val="auto"/>
        </w:rPr>
      </w:pPr>
      <w:r>
        <w:rPr>
          <w:rFonts w:ascii="Arial" w:cs="Arial" w:eastAsia="Arial" w:hAnsi="Arial"/>
          <w:sz w:val="16"/>
          <w:szCs w:val="16"/>
          <w:color w:val="auto"/>
        </w:rPr>
        <w:t>As used in the Plan or in any instrument governing the terms of any Incentive Award, the following definitions apply to the terms indicated be</w:t>
      </w:r>
    </w:p>
    <w:p>
      <w:pPr>
        <w:spacing w:after="0" w:line="151" w:lineRule="exact"/>
        <w:rPr>
          <w:sz w:val="20"/>
          <w:szCs w:val="20"/>
          <w:color w:val="auto"/>
        </w:rPr>
      </w:pPr>
    </w:p>
    <w:p>
      <w:pPr>
        <w:ind w:left="1350" w:hanging="438"/>
        <w:spacing w:after="0"/>
        <w:tabs>
          <w:tab w:leader="none" w:pos="13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“Board of Directors” means the Board of Directors of TWPC.</w:t>
      </w:r>
    </w:p>
    <w:p>
      <w:pPr>
        <w:spacing w:after="0" w:line="139" w:lineRule="exact"/>
        <w:rPr>
          <w:rFonts w:ascii="Arial" w:cs="Arial" w:eastAsia="Arial" w:hAnsi="Arial"/>
          <w:sz w:val="17"/>
          <w:szCs w:val="17"/>
          <w:color w:val="auto"/>
        </w:rPr>
      </w:pPr>
    </w:p>
    <w:p>
      <w:pPr>
        <w:ind w:left="1350" w:hanging="438"/>
        <w:spacing w:after="0"/>
        <w:tabs>
          <w:tab w:leader="none" w:pos="13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“Cash Incentive Award” means an award granted pursuant to Section 8 of the Plan.</w:t>
      </w:r>
    </w:p>
    <w:p>
      <w:pPr>
        <w:spacing w:after="0" w:line="139" w:lineRule="exact"/>
        <w:rPr>
          <w:rFonts w:ascii="Arial" w:cs="Arial" w:eastAsia="Arial" w:hAnsi="Arial"/>
          <w:sz w:val="17"/>
          <w:szCs w:val="17"/>
          <w:color w:val="auto"/>
        </w:rPr>
      </w:pPr>
    </w:p>
    <w:p>
      <w:pPr>
        <w:ind w:left="1310" w:hanging="398"/>
        <w:spacing w:after="0" w:line="235" w:lineRule="auto"/>
        <w:tabs>
          <w:tab w:leader="none" w:pos="1327"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from time to time, and all regulations, interpretations and administra guidance issued thereunder.</w:t>
      </w:r>
    </w:p>
    <w:p>
      <w:pPr>
        <w:spacing w:after="0" w:line="138" w:lineRule="exact"/>
        <w:rPr>
          <w:rFonts w:ascii="Arial" w:cs="Arial" w:eastAsia="Arial" w:hAnsi="Arial"/>
          <w:sz w:val="17"/>
          <w:szCs w:val="17"/>
          <w:color w:val="auto"/>
        </w:rPr>
      </w:pPr>
    </w:p>
    <w:p>
      <w:pPr>
        <w:ind w:left="1310" w:hanging="398"/>
        <w:spacing w:after="0" w:line="233" w:lineRule="auto"/>
        <w:tabs>
          <w:tab w:leader="none" w:pos="13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“Committee”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w:t>
      </w:r>
    </w:p>
    <w:p>
      <w:pPr>
        <w:spacing w:after="0" w:line="138" w:lineRule="exact"/>
        <w:rPr>
          <w:rFonts w:ascii="Arial" w:cs="Arial" w:eastAsia="Arial" w:hAnsi="Arial"/>
          <w:sz w:val="17"/>
          <w:szCs w:val="17"/>
          <w:color w:val="auto"/>
        </w:rPr>
      </w:pPr>
    </w:p>
    <w:p>
      <w:pPr>
        <w:ind w:left="1310" w:right="80" w:hanging="398"/>
        <w:spacing w:after="0" w:line="235" w:lineRule="auto"/>
        <w:tabs>
          <w:tab w:leader="none" w:pos="13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“Common Stock” means TWPC’s Class B Common Stock, $0.01 par value per share, or any other security into which the common shall be changed pursuant to the adjustment provisions of Section 10 of the Plan.</w:t>
      </w:r>
    </w:p>
    <w:p>
      <w:pPr>
        <w:spacing w:after="0" w:line="138" w:lineRule="exact"/>
        <w:rPr>
          <w:rFonts w:ascii="Arial" w:cs="Arial" w:eastAsia="Arial" w:hAnsi="Arial"/>
          <w:sz w:val="17"/>
          <w:szCs w:val="17"/>
          <w:color w:val="auto"/>
        </w:rPr>
      </w:pPr>
    </w:p>
    <w:p>
      <w:pPr>
        <w:ind w:left="1350" w:hanging="438"/>
        <w:spacing w:after="0"/>
        <w:tabs>
          <w:tab w:leader="none" w:pos="13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“Company” means TWPC and all of its Subsidiaries, collectively.</w:t>
      </w:r>
    </w:p>
    <w:p>
      <w:pPr>
        <w:spacing w:after="0" w:line="139" w:lineRule="exact"/>
        <w:rPr>
          <w:rFonts w:ascii="Arial" w:cs="Arial" w:eastAsia="Arial" w:hAnsi="Arial"/>
          <w:sz w:val="17"/>
          <w:szCs w:val="17"/>
          <w:color w:val="auto"/>
        </w:rPr>
      </w:pPr>
    </w:p>
    <w:p>
      <w:pPr>
        <w:ind w:left="1310" w:right="40" w:hanging="398"/>
        <w:spacing w:after="0" w:line="235" w:lineRule="auto"/>
        <w:tabs>
          <w:tab w:leader="none" w:pos="13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“Covered Employee” means each Participant who is an executive officer (within the meaning of Rule 3b-7 under the Exchange Act) TWPC.</w:t>
      </w:r>
    </w:p>
    <w:p>
      <w:pPr>
        <w:spacing w:after="0" w:line="138" w:lineRule="exact"/>
        <w:rPr>
          <w:rFonts w:ascii="Arial" w:cs="Arial" w:eastAsia="Arial" w:hAnsi="Arial"/>
          <w:sz w:val="17"/>
          <w:szCs w:val="17"/>
          <w:color w:val="auto"/>
        </w:rPr>
      </w:pPr>
    </w:p>
    <w:p>
      <w:pPr>
        <w:ind w:left="1310" w:right="20" w:hanging="398"/>
        <w:spacing w:after="0" w:line="235" w:lineRule="auto"/>
        <w:tabs>
          <w:tab w:leader="none" w:pos="13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“Deferred Compensation Plan” means any plan, agreement or arrangement maintained by the Company from time to time that prov opportunities for deferral of compensation.</w:t>
      </w:r>
    </w:p>
    <w:p>
      <w:pPr>
        <w:spacing w:after="0" w:line="138" w:lineRule="exact"/>
        <w:rPr>
          <w:rFonts w:ascii="Arial" w:cs="Arial" w:eastAsia="Arial" w:hAnsi="Arial"/>
          <w:sz w:val="17"/>
          <w:szCs w:val="17"/>
          <w:color w:val="auto"/>
        </w:rPr>
      </w:pPr>
    </w:p>
    <w:p>
      <w:pPr>
        <w:ind w:left="1330" w:hanging="418"/>
        <w:spacing w:after="0"/>
        <w:tabs>
          <w:tab w:leader="none" w:pos="13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“Exchange Act” means the Securities Exchange Act of 1934, as amended.</w:t>
      </w:r>
    </w:p>
    <w:p>
      <w:pPr>
        <w:spacing w:after="0" w:line="139" w:lineRule="exact"/>
        <w:rPr>
          <w:rFonts w:ascii="Arial" w:cs="Arial" w:eastAsia="Arial" w:hAnsi="Arial"/>
          <w:sz w:val="17"/>
          <w:szCs w:val="17"/>
          <w:color w:val="auto"/>
        </w:rPr>
      </w:pPr>
    </w:p>
    <w:p>
      <w:pPr>
        <w:ind w:left="1310" w:hanging="398"/>
        <w:spacing w:after="0" w:line="230" w:lineRule="auto"/>
        <w:tabs>
          <w:tab w:leader="none" w:pos="1327"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“Fair Market Value” means, with respect to a share of Common Stock, as of the applicable date of determination (i) the average of th high and low sales prices on the date of determination or, if not so reported for such day, the immediately preceding business day of share of Common Stock as reported on the principal securities exchange on which shares of Common Stock are then listed or admi trading or (ii) if not so reported, the average of the closing bid and ask prices on the date of determination or, if not so reported for su day, on the immediately preceding business day as reported on the National Association of Securities Dealers Automated Quotation System or (iii) if not so reported, as furnished by any member of the National Association of Securities Dealers, Inc. selected by the Committee. In the event that the price of a share of Common Stock shall not be so reported, the Fair Market Value of a share of Com Stock shall be determined by the Committee in its sole discretion.</w:t>
      </w:r>
    </w:p>
    <w:p>
      <w:pPr>
        <w:spacing w:after="0" w:line="139" w:lineRule="exact"/>
        <w:rPr>
          <w:rFonts w:ascii="Arial" w:cs="Arial" w:eastAsia="Arial" w:hAnsi="Arial"/>
          <w:sz w:val="17"/>
          <w:szCs w:val="17"/>
          <w:color w:val="auto"/>
        </w:rPr>
      </w:pPr>
    </w:p>
    <w:p>
      <w:pPr>
        <w:ind w:left="1330" w:hanging="418"/>
        <w:spacing w:after="0"/>
        <w:tabs>
          <w:tab w:leader="none" w:pos="13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“Incentive Award” means one or more Stock Incentive Awards and Cash Incentive Awards, collectively.</w:t>
      </w:r>
    </w:p>
    <w:p>
      <w:pPr>
        <w:spacing w:after="0" w:line="139" w:lineRule="exact"/>
        <w:rPr>
          <w:rFonts w:ascii="Arial" w:cs="Arial" w:eastAsia="Arial" w:hAnsi="Arial"/>
          <w:sz w:val="17"/>
          <w:szCs w:val="17"/>
          <w:color w:val="auto"/>
        </w:rPr>
      </w:pPr>
    </w:p>
    <w:p>
      <w:pPr>
        <w:ind w:left="1330" w:hanging="418"/>
        <w:spacing w:after="0"/>
        <w:tabs>
          <w:tab w:leader="none" w:pos="13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“Option” means a stock option to purchase shares of Common Stock granted to a Participant pursuant to Section 6.</w:t>
      </w:r>
    </w:p>
    <w:p>
      <w:pPr>
        <w:spacing w:after="0" w:line="139" w:lineRule="exact"/>
        <w:rPr>
          <w:rFonts w:ascii="Arial" w:cs="Arial" w:eastAsia="Arial" w:hAnsi="Arial"/>
          <w:sz w:val="17"/>
          <w:szCs w:val="17"/>
          <w:color w:val="auto"/>
        </w:rPr>
      </w:pPr>
    </w:p>
    <w:p>
      <w:pPr>
        <w:ind w:left="1350" w:hanging="438"/>
        <w:spacing w:after="0"/>
        <w:tabs>
          <w:tab w:leader="none" w:pos="13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Stock-Based Award” means an award granted to a Participant pursuant to Section 7.</w:t>
      </w:r>
    </w:p>
    <w:p>
      <w:pPr>
        <w:spacing w:after="0" w:line="139" w:lineRule="exact"/>
        <w:rPr>
          <w:rFonts w:ascii="Arial" w:cs="Arial" w:eastAsia="Arial" w:hAnsi="Arial"/>
          <w:sz w:val="17"/>
          <w:szCs w:val="17"/>
          <w:color w:val="auto"/>
        </w:rPr>
      </w:pPr>
    </w:p>
    <w:p>
      <w:pPr>
        <w:jc w:val="both"/>
        <w:ind w:left="1310" w:hanging="398"/>
        <w:spacing w:after="0" w:line="233" w:lineRule="auto"/>
        <w:tabs>
          <w:tab w:leader="none" w:pos="13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“Participant” means an employee or director of the Company who is eligible to participate in the Plan and to whom one or more Ince Awards have been granted pursuant to the Plan and have not been fully settled or cancelled and, following the death of any such Pe his successors, heirs, executors and administrators,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196215</wp:posOffset>
            </wp:positionV>
            <wp:extent cx="727837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342" w:right="139" w:bottom="1440" w:gutter="0" w:footer="0" w:header="0"/>
        </w:sectPr>
      </w:pPr>
    </w:p>
    <w:bookmarkStart w:id="31" w:name="page32"/>
    <w:bookmarkEnd w:id="31"/>
    <w:p>
      <w:pPr>
        <w:ind w:left="1310" w:hanging="398"/>
        <w:spacing w:after="0" w:line="235" w:lineRule="auto"/>
        <w:tabs>
          <w:tab w:leader="none" w:pos="13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“Performance-Based Compensation” means compensation that satisfies the requirements of Section 162(m) of the Code for deduct of “qualified performance-based compensation.”</w:t>
      </w:r>
    </w:p>
    <w:p>
      <w:pPr>
        <w:spacing w:after="0" w:line="138" w:lineRule="exact"/>
        <w:rPr>
          <w:rFonts w:ascii="Arial" w:cs="Arial" w:eastAsia="Arial" w:hAnsi="Arial"/>
          <w:sz w:val="17"/>
          <w:szCs w:val="17"/>
          <w:color w:val="auto"/>
        </w:rPr>
      </w:pPr>
    </w:p>
    <w:p>
      <w:pPr>
        <w:ind w:left="1310" w:hanging="398"/>
        <w:spacing w:after="0" w:line="235" w:lineRule="auto"/>
        <w:tabs>
          <w:tab w:leader="none" w:pos="13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Measures” means such measures as are described in Section 9 on which performance goals are based in order to qu certain awards granted hereunder as Performance-Based Compensation.</w:t>
      </w:r>
    </w:p>
    <w:p>
      <w:pPr>
        <w:spacing w:after="0" w:line="138" w:lineRule="exact"/>
        <w:rPr>
          <w:rFonts w:ascii="Arial" w:cs="Arial" w:eastAsia="Arial" w:hAnsi="Arial"/>
          <w:sz w:val="17"/>
          <w:szCs w:val="17"/>
          <w:color w:val="auto"/>
        </w:rPr>
      </w:pPr>
    </w:p>
    <w:p>
      <w:pPr>
        <w:ind w:left="1310" w:right="40" w:hanging="398"/>
        <w:spacing w:after="0" w:line="235" w:lineRule="auto"/>
        <w:tabs>
          <w:tab w:leader="none" w:pos="13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Percentage” means the factor determined pursuant to a Performance Schedule that is to be applied to a Target Awar that reflects actual performance compared to the Performance Target.</w:t>
      </w:r>
    </w:p>
    <w:p>
      <w:pPr>
        <w:spacing w:after="0" w:line="138" w:lineRule="exact"/>
        <w:rPr>
          <w:rFonts w:ascii="Arial" w:cs="Arial" w:eastAsia="Arial" w:hAnsi="Arial"/>
          <w:sz w:val="17"/>
          <w:szCs w:val="17"/>
          <w:color w:val="auto"/>
        </w:rPr>
      </w:pPr>
    </w:p>
    <w:p>
      <w:pPr>
        <w:ind w:left="1310" w:hanging="398"/>
        <w:spacing w:after="0" w:line="233" w:lineRule="auto"/>
        <w:tabs>
          <w:tab w:leader="none" w:pos="1299"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Period” means the period of time during which Performance Targets must be met in order to determine the degree of and/or vesting with respect to an Incentive Award that is intended to qualify as Performance-Based Compensation. Performance Per may be overlapping.</w:t>
      </w:r>
    </w:p>
    <w:p>
      <w:pPr>
        <w:spacing w:after="0" w:line="138" w:lineRule="exact"/>
        <w:rPr>
          <w:rFonts w:ascii="Arial" w:cs="Arial" w:eastAsia="Arial" w:hAnsi="Arial"/>
          <w:sz w:val="17"/>
          <w:szCs w:val="17"/>
          <w:color w:val="auto"/>
        </w:rPr>
      </w:pPr>
    </w:p>
    <w:p>
      <w:pPr>
        <w:ind w:left="1310" w:hanging="398"/>
        <w:spacing w:after="0" w:line="235" w:lineRule="auto"/>
        <w:tabs>
          <w:tab w:leader="none" w:pos="1327"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Schedule” means a schedule or other objective method for determining the applicable Performance Percentage to be applied to each Target Award.</w:t>
      </w:r>
    </w:p>
    <w:p>
      <w:pPr>
        <w:spacing w:after="0" w:line="138" w:lineRule="exact"/>
        <w:rPr>
          <w:rFonts w:ascii="Arial" w:cs="Arial" w:eastAsia="Arial" w:hAnsi="Arial"/>
          <w:sz w:val="17"/>
          <w:szCs w:val="17"/>
          <w:color w:val="auto"/>
        </w:rPr>
      </w:pPr>
    </w:p>
    <w:p>
      <w:pPr>
        <w:ind w:left="1290" w:hanging="378"/>
        <w:spacing w:after="0"/>
        <w:tabs>
          <w:tab w:leader="none" w:pos="129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Target” means performance goals and objectives with respect to a Performance Period.</w:t>
      </w:r>
    </w:p>
    <w:p>
      <w:pPr>
        <w:spacing w:after="0" w:line="139" w:lineRule="exact"/>
        <w:rPr>
          <w:rFonts w:ascii="Arial" w:cs="Arial" w:eastAsia="Arial" w:hAnsi="Arial"/>
          <w:sz w:val="17"/>
          <w:szCs w:val="17"/>
          <w:color w:val="auto"/>
        </w:rPr>
      </w:pPr>
    </w:p>
    <w:p>
      <w:pPr>
        <w:ind w:left="1310" w:right="20" w:hanging="398"/>
        <w:spacing w:after="0" w:line="235" w:lineRule="auto"/>
        <w:tabs>
          <w:tab w:leader="none" w:pos="13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“Person” means a “person” as such term is used in Section 13(d) and 14(d) of the Exchange Act, including any “group” within the m of Section 13(d)(3) under the Exchange Act.</w:t>
      </w:r>
    </w:p>
    <w:p>
      <w:pPr>
        <w:spacing w:after="0" w:line="138" w:lineRule="exact"/>
        <w:rPr>
          <w:rFonts w:ascii="Arial" w:cs="Arial" w:eastAsia="Arial" w:hAnsi="Arial"/>
          <w:sz w:val="17"/>
          <w:szCs w:val="17"/>
          <w:color w:val="auto"/>
        </w:rPr>
      </w:pPr>
    </w:p>
    <w:p>
      <w:pPr>
        <w:ind w:left="1330" w:hanging="418"/>
        <w:spacing w:after="0"/>
        <w:tabs>
          <w:tab w:leader="none" w:pos="13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“Plan” means this 2012 Incentive Compensation Plan, as it may be amended from time to time.</w:t>
      </w:r>
    </w:p>
    <w:p>
      <w:pPr>
        <w:spacing w:after="0" w:line="139" w:lineRule="exact"/>
        <w:rPr>
          <w:rFonts w:ascii="Arial" w:cs="Arial" w:eastAsia="Arial" w:hAnsi="Arial"/>
          <w:sz w:val="17"/>
          <w:szCs w:val="17"/>
          <w:color w:val="auto"/>
        </w:rPr>
      </w:pPr>
    </w:p>
    <w:p>
      <w:pPr>
        <w:ind w:left="1330" w:hanging="418"/>
        <w:spacing w:after="0"/>
        <w:tabs>
          <w:tab w:leader="none" w:pos="13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“Securities Act” means the Securities Act of 1933, as amended.</w:t>
      </w:r>
    </w:p>
    <w:p>
      <w:pPr>
        <w:spacing w:after="0" w:line="139" w:lineRule="exact"/>
        <w:rPr>
          <w:rFonts w:ascii="Arial" w:cs="Arial" w:eastAsia="Arial" w:hAnsi="Arial"/>
          <w:sz w:val="17"/>
          <w:szCs w:val="17"/>
          <w:color w:val="auto"/>
        </w:rPr>
      </w:pPr>
    </w:p>
    <w:p>
      <w:pPr>
        <w:ind w:left="1330" w:hanging="418"/>
        <w:spacing w:after="0"/>
        <w:tabs>
          <w:tab w:leader="none" w:pos="13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 Incentive Award” means an Option or Other Stock-Based Award granted pursuant to the terms of the Plan.</w:t>
      </w:r>
    </w:p>
    <w:p>
      <w:pPr>
        <w:spacing w:after="0" w:line="139" w:lineRule="exact"/>
        <w:rPr>
          <w:rFonts w:ascii="Arial" w:cs="Arial" w:eastAsia="Arial" w:hAnsi="Arial"/>
          <w:sz w:val="17"/>
          <w:szCs w:val="17"/>
          <w:color w:val="auto"/>
        </w:rPr>
      </w:pPr>
    </w:p>
    <w:p>
      <w:pPr>
        <w:ind w:left="1330" w:hanging="418"/>
        <w:spacing w:after="0"/>
        <w:tabs>
          <w:tab w:leader="none" w:pos="13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“Subsidiary” means any “subsidiary” within the meaning of Rule 405 under the Securities Act.</w:t>
      </w:r>
    </w:p>
    <w:p>
      <w:pPr>
        <w:spacing w:after="0" w:line="139" w:lineRule="exact"/>
        <w:rPr>
          <w:rFonts w:ascii="Arial" w:cs="Arial" w:eastAsia="Arial" w:hAnsi="Arial"/>
          <w:sz w:val="17"/>
          <w:szCs w:val="17"/>
          <w:color w:val="auto"/>
        </w:rPr>
      </w:pPr>
    </w:p>
    <w:p>
      <w:pPr>
        <w:ind w:left="1330" w:hanging="418"/>
        <w:spacing w:after="0"/>
        <w:tabs>
          <w:tab w:leader="none" w:pos="13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“Target Award” means target payout amount for an Incentive Award.</w:t>
      </w:r>
    </w:p>
    <w:p>
      <w:pPr>
        <w:spacing w:after="0" w:line="140" w:lineRule="exact"/>
        <w:rPr>
          <w:sz w:val="20"/>
          <w:szCs w:val="20"/>
          <w:color w:val="auto"/>
        </w:rPr>
      </w:pPr>
    </w:p>
    <w:p>
      <w:pPr>
        <w:ind w:left="1350" w:hanging="438"/>
        <w:spacing w:after="0"/>
        <w:tabs>
          <w:tab w:leader="none" w:pos="135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“TWPC” means The Washington Post Company, a Delaware corporation.</w:t>
      </w:r>
    </w:p>
    <w:p>
      <w:pPr>
        <w:spacing w:after="0" w:line="139" w:lineRule="exact"/>
        <w:rPr>
          <w:rFonts w:ascii="Arial" w:cs="Arial" w:eastAsia="Arial" w:hAnsi="Arial"/>
          <w:sz w:val="17"/>
          <w:szCs w:val="17"/>
          <w:color w:val="auto"/>
        </w:rPr>
      </w:pPr>
    </w:p>
    <w:p>
      <w:pPr>
        <w:ind w:left="690" w:hanging="690"/>
        <w:spacing w:after="0"/>
        <w:tabs>
          <w:tab w:leader="none" w:pos="69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 and Limitations on Cash Incentive Awards</w:t>
      </w:r>
    </w:p>
    <w:p>
      <w:pPr>
        <w:spacing w:after="0" w:line="139" w:lineRule="exact"/>
        <w:rPr>
          <w:rFonts w:ascii="Arial" w:cs="Arial" w:eastAsia="Arial" w:hAnsi="Arial"/>
          <w:sz w:val="17"/>
          <w:szCs w:val="17"/>
          <w:color w:val="auto"/>
        </w:rPr>
      </w:pPr>
    </w:p>
    <w:p>
      <w:pPr>
        <w:ind w:left="1350" w:hanging="438"/>
        <w:spacing w:after="0"/>
        <w:tabs>
          <w:tab w:leader="none" w:pos="1350"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p>
    <w:p>
      <w:pPr>
        <w:spacing w:after="0" w:line="140" w:lineRule="exact"/>
        <w:rPr>
          <w:sz w:val="20"/>
          <w:szCs w:val="20"/>
          <w:color w:val="auto"/>
        </w:rPr>
      </w:pPr>
    </w:p>
    <w:p>
      <w:pPr>
        <w:jc w:val="both"/>
        <w:ind w:left="10" w:firstLine="709"/>
        <w:spacing w:after="0" w:line="232" w:lineRule="auto"/>
        <w:rPr>
          <w:sz w:val="20"/>
          <w:szCs w:val="20"/>
          <w:color w:val="auto"/>
        </w:rPr>
      </w:pPr>
      <w:r>
        <w:rPr>
          <w:rFonts w:ascii="Arial" w:cs="Arial" w:eastAsia="Arial" w:hAnsi="Arial"/>
          <w:sz w:val="17"/>
          <w:szCs w:val="17"/>
          <w:color w:val="auto"/>
        </w:rPr>
        <w:t>The maximum number of shares of Common Stock that may be covered by Incentive Awards granted under the Plan shall not exceed 500,0 shares of Common Stock in the aggregate. The shares referred to in the preceding sentence of this paragraph shall be subject to adjustment as provi Section 10 and the following provisions of this Section 3. Shares of Common Stock issued under the Plan may be either authorized and unissued shar treasury shares, or both, at the sole discretion of the Committee.</w:t>
      </w:r>
    </w:p>
    <w:p>
      <w:pPr>
        <w:spacing w:after="0" w:line="138" w:lineRule="exact"/>
        <w:rPr>
          <w:sz w:val="20"/>
          <w:szCs w:val="20"/>
          <w:color w:val="auto"/>
        </w:rPr>
      </w:pPr>
    </w:p>
    <w:p>
      <w:pPr>
        <w:ind w:left="10" w:firstLine="709"/>
        <w:spacing w:after="0" w:line="229" w:lineRule="auto"/>
        <w:rPr>
          <w:sz w:val="20"/>
          <w:szCs w:val="20"/>
          <w:color w:val="auto"/>
        </w:rPr>
      </w:pPr>
      <w:r>
        <w:rPr>
          <w:rFonts w:ascii="Arial" w:cs="Arial" w:eastAsia="Arial" w:hAnsi="Arial"/>
          <w:sz w:val="17"/>
          <w:szCs w:val="17"/>
          <w:color w:val="auto"/>
        </w:rPr>
        <w:t>For purposes of the preceding paragraph, shares of Common Stock covered by Incentive Awards shall only be counted as used to the exten are actually issued and delivered to a Participant (or such Participant’s permitted transferees as described in the Plan) pursuant to the Plan. For purpo clarification, in accordance with the preceding sentence if an Incentive Award is settled for cash or if shares of Common Stock are withheld to pay the exercise price of an Option or to satisfy any tax withholding requirement in connection with an Incentive Award, only the shares issued (if any), net of t shares withheld, will be deemed delivered for purposes of determining the number of shares of Common Stock that are available for delivery under th In addition, if shares of Common Stock are issued subject to conditions which may result in the forfeiture, cancellation or return of such shares to the Company, any portion of the shares forfeited, cancelled or returned shall be treated as not issued pursuant to the Plan. In addition, if shares of Comm Stock owned by a Participant (or such Participant’s permitted transferees as described in the Plan) are tendered (either actually or through attestation) Company in payment of any obligation in connection with an Incentive Award, the number of shares tendered shall be added to the number of shares Common Stock that are available for delivery under the Plan. Shares of Common Stock covered by Incentive Awards granted pursuant to the Plan in connection with the assumption, replacement, conversion or adjustment of outstanding equity-based awards in the context of a corporate acquisition o merger (within the meaning of Section 303A.08 of the New York Stock Exchange Listed Company Manual) shall not count as used under the Plan for purposes of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625475</wp:posOffset>
            </wp:positionV>
            <wp:extent cx="727837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34" w:right="139" w:bottom="1440" w:gutter="0" w:footer="0" w:header="0"/>
        </w:sectPr>
      </w:pPr>
    </w:p>
    <w:bookmarkStart w:id="32" w:name="page33"/>
    <w:bookmarkEnd w:id="32"/>
    <w:p>
      <w:pPr>
        <w:ind w:left="1350" w:hanging="438"/>
        <w:spacing w:after="0"/>
        <w:tabs>
          <w:tab w:leader="none" w:pos="135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Individual Award Limits</w:t>
      </w:r>
    </w:p>
    <w:p>
      <w:pPr>
        <w:spacing w:after="0" w:line="140" w:lineRule="exact"/>
        <w:rPr>
          <w:sz w:val="20"/>
          <w:szCs w:val="20"/>
          <w:color w:val="auto"/>
        </w:rPr>
      </w:pPr>
    </w:p>
    <w:p>
      <w:pPr>
        <w:ind w:left="10" w:firstLine="709"/>
        <w:spacing w:after="0" w:line="230" w:lineRule="auto"/>
        <w:rPr>
          <w:sz w:val="20"/>
          <w:szCs w:val="20"/>
          <w:color w:val="auto"/>
        </w:rPr>
      </w:pPr>
      <w:r>
        <w:rPr>
          <w:rFonts w:ascii="Arial" w:cs="Arial" w:eastAsia="Arial" w:hAnsi="Arial"/>
          <w:sz w:val="17"/>
          <w:szCs w:val="17"/>
          <w:color w:val="auto"/>
        </w:rPr>
        <w:t>Subject to adjustment as provided in Section 10, the maximum number of shares of Common Stock that may be covered by Incentive Award granted under the Plan to any Covered Employee in any calendar year shall not exceed 50,000 shares. The amount payable to any Covered Employe respect to any calendar year for all Cash Incentive Awards shall not exceed $25 million. For purposes of the preceding sentences, the phrase “amoun payable with respect to any calendar year” means the amount of cash, or value of other property, required to be paid based on the achievement of applicable Performance Measures during a Performance Period that ends in a calendar year, disregarding any deferral pursuant to the terms of a Def Compensation Plan unless the terms of the deferral are intended to comply with the requirements for performance-based compensation under Section 162(m) of the Code.</w:t>
      </w:r>
    </w:p>
    <w:p>
      <w:pPr>
        <w:spacing w:after="0" w:line="141" w:lineRule="exact"/>
        <w:rPr>
          <w:sz w:val="20"/>
          <w:szCs w:val="20"/>
          <w:color w:val="auto"/>
        </w:rPr>
      </w:pPr>
    </w:p>
    <w:p>
      <w:pPr>
        <w:ind w:left="690" w:hanging="690"/>
        <w:spacing w:after="0"/>
        <w:tabs>
          <w:tab w:leader="none" w:pos="69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p>
    <w:p>
      <w:pPr>
        <w:spacing w:after="0" w:line="140" w:lineRule="exact"/>
        <w:rPr>
          <w:sz w:val="20"/>
          <w:szCs w:val="20"/>
          <w:color w:val="auto"/>
        </w:rPr>
      </w:pPr>
    </w:p>
    <w:p>
      <w:pPr>
        <w:ind w:left="10" w:firstLine="709"/>
        <w:spacing w:after="0" w:line="230" w:lineRule="auto"/>
        <w:rPr>
          <w:sz w:val="20"/>
          <w:szCs w:val="20"/>
          <w:color w:val="auto"/>
        </w:rPr>
      </w:pPr>
      <w:r>
        <w:rPr>
          <w:rFonts w:ascii="Arial" w:cs="Arial" w:eastAsia="Arial" w:hAnsi="Arial"/>
          <w:sz w:val="17"/>
          <w:szCs w:val="17"/>
          <w:color w:val="auto"/>
        </w:rPr>
        <w:t>The Plan shall be administered by a Committee of the Board of Directors consisting of two or more persons, each of whom qualifies as a “no employee director” (within the meaning of Rule 16b-3 promulgated under Section 16 of the Exchange Act), an “outside director” within the meaning of Treasury Regulation Section 1.162-27(e)(3) and as “independent” within the meaning of any applicable stock exchange listing rules or similar regulato authority. The Committee shall, consistent with the terms of the Plan, from time to time designate those employees and directors of the Company who be granted Incentive Awards under the Plan and the amount, type and other terms and conditions of such Incentive Awards. All of the powers and responsibilities of the Committee under the Plan may be delegated by the Committee to any subcommittee thereof. In addition, the Committee may fro time to time authorize a subcommittee consisting of one or more members of the Board of Directors (including members who are employees of the Company) or employees of the Company to grant Incentive Awards, subject to such restrictions and limitation as the Committee may specify and to th requirements of Delaware General Corporation Law Section 157.</w:t>
      </w:r>
    </w:p>
    <w:p>
      <w:pPr>
        <w:spacing w:after="0" w:line="138" w:lineRule="exact"/>
        <w:rPr>
          <w:sz w:val="20"/>
          <w:szCs w:val="20"/>
          <w:color w:val="auto"/>
        </w:rPr>
      </w:pPr>
    </w:p>
    <w:p>
      <w:pPr>
        <w:ind w:left="10" w:firstLine="709"/>
        <w:spacing w:after="0" w:line="230" w:lineRule="auto"/>
        <w:rPr>
          <w:sz w:val="20"/>
          <w:szCs w:val="20"/>
          <w:color w:val="auto"/>
        </w:rPr>
      </w:pPr>
      <w:r>
        <w:rPr>
          <w:rFonts w:ascii="Arial" w:cs="Arial" w:eastAsia="Arial" w:hAnsi="Arial"/>
          <w:sz w:val="17"/>
          <w:szCs w:val="17"/>
          <w:color w:val="auto"/>
        </w:rPr>
        <w:t>The Committee shall have full discretionary authority to administer the Plan, including discretionary authority to interpret and construe any an provisions of the Plan and the terms of any Incentive Award (and any agreement evidencing any Incentive Award) granted thereunder and to adopt an amend from time to time such rules and regulations for the administration of the Plan as the Committee may deem necessary or appropriate. Without limiting the generality of the foregoing, the Committee shall determine whether an authorized leave of absence, or absence in military or government service, shall constitute termination of employment. The employment of a Participant with the Company shall be deemed to have terminated for all pur of the Plan if such Participant is employed by or provides services to a Person that is a Subsidiary of the Company and such Person ceases to be a Subsidiary of the Company, unless the Committee determines otherwise. A Participant who ceases to be an employee of the Company but continues, simultaneously commences, services as a director of the Company shall not be deemed to have had a termination of employment for purposes of the Decisions of the Committee shall be final, binding and conclusive on all parties.</w:t>
      </w:r>
    </w:p>
    <w:p>
      <w:pPr>
        <w:spacing w:after="0" w:line="138" w:lineRule="exact"/>
        <w:rPr>
          <w:sz w:val="20"/>
          <w:szCs w:val="20"/>
          <w:color w:val="auto"/>
        </w:rPr>
      </w:pPr>
    </w:p>
    <w:p>
      <w:pPr>
        <w:ind w:left="10" w:firstLine="709"/>
        <w:spacing w:after="0" w:line="230" w:lineRule="auto"/>
        <w:rPr>
          <w:sz w:val="20"/>
          <w:szCs w:val="20"/>
          <w:color w:val="auto"/>
        </w:rPr>
      </w:pPr>
      <w:r>
        <w:rPr>
          <w:rFonts w:ascii="Arial" w:cs="Arial" w:eastAsia="Arial" w:hAnsi="Arial"/>
          <w:sz w:val="17"/>
          <w:szCs w:val="17"/>
          <w:color w:val="auto"/>
        </w:rPr>
        <w:t xml:space="preserve">On or after the date of grant of an Incentive Award under the Plan, the Committee may (i) accelerate the date on which any such Incentive A becomes vested, exercisable or transferable, as the case may be, (ii) extend the term of any such Incentive Award, including, without limitation, exten the period following a termination of a Participant’s employment during which any such Incentive Award may remain outstanding, (iii) waive any condit the vesting, exercisability or transferability, as the case may be, of any such Incentive Award or (iv) provide for the payment of dividends or dividend equivalents with respect to any such Incentive Award;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Committee shall not have any such authority to the extent that the grant of su authority would cause any tax to become due under Section 409A of the Code. Notwithstanding anything herein to the contrary, the Company shall no reprice any stock option (within the meaning of Section 303A.08 of the New York Stock Exchange Listed Company Manual) without the approval of the shareholders of TWPC.</w:t>
      </w:r>
    </w:p>
    <w:p>
      <w:pPr>
        <w:spacing w:after="0" w:line="139" w:lineRule="exact"/>
        <w:rPr>
          <w:sz w:val="20"/>
          <w:szCs w:val="20"/>
          <w:color w:val="auto"/>
        </w:rPr>
      </w:pPr>
    </w:p>
    <w:p>
      <w:pPr>
        <w:jc w:val="both"/>
        <w:ind w:left="10" w:firstLine="709"/>
        <w:spacing w:after="0" w:line="233" w:lineRule="auto"/>
        <w:rPr>
          <w:sz w:val="20"/>
          <w:szCs w:val="20"/>
          <w:color w:val="auto"/>
        </w:rPr>
      </w:pPr>
      <w:r>
        <w:rPr>
          <w:rFonts w:ascii="Arial" w:cs="Arial" w:eastAsia="Arial" w:hAnsi="Arial"/>
          <w:sz w:val="17"/>
          <w:szCs w:val="17"/>
          <w:color w:val="auto"/>
        </w:rPr>
        <w:t>The Company shall pay any amount payable with respect to an Incentive Award in accordance with the terms of such Incentive Award, provi that the Committee may, in its discretion, defer the payment of amounts payable with respect to an Incentive Award subject to and in accordance with terms of a Deferred Compensation Plan.</w:t>
      </w:r>
    </w:p>
    <w:p>
      <w:pPr>
        <w:spacing w:after="0" w:line="138" w:lineRule="exact"/>
        <w:rPr>
          <w:sz w:val="20"/>
          <w:szCs w:val="20"/>
          <w:color w:val="auto"/>
        </w:rPr>
      </w:pPr>
    </w:p>
    <w:p>
      <w:pPr>
        <w:jc w:val="both"/>
        <w:ind w:left="10" w:right="20" w:firstLine="709"/>
        <w:spacing w:after="0" w:line="230" w:lineRule="auto"/>
        <w:rPr>
          <w:sz w:val="20"/>
          <w:szCs w:val="20"/>
          <w:color w:val="auto"/>
        </w:rPr>
      </w:pPr>
      <w:r>
        <w:rPr>
          <w:rFonts w:ascii="Arial" w:cs="Arial" w:eastAsia="Arial" w:hAnsi="Arial"/>
          <w:sz w:val="17"/>
          <w:szCs w:val="17"/>
          <w:color w:val="auto"/>
        </w:rPr>
        <w:t>No member of the Committee shall be liable for any action, omission, or determination relating to the Plan, and TWPC shall indemnify and h harmless each member of the Committee and each other director or employee of the Company to whom any duty or power relating to the administrati interpretation of the Plan has been delegated, against any cost or expense (including counsel fees) or liability (including any sum paid in settlement of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624205</wp:posOffset>
            </wp:positionV>
            <wp:extent cx="727837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34" w:right="139" w:bottom="1440" w:gutter="0" w:footer="0" w:header="0"/>
        </w:sectPr>
      </w:pPr>
    </w:p>
    <w:bookmarkStart w:id="33" w:name="page34"/>
    <w:bookmarkEnd w:id="33"/>
    <w:p>
      <w:pPr>
        <w:ind w:left="690" w:hanging="690"/>
        <w:spacing w:after="0"/>
        <w:tabs>
          <w:tab w:leader="none" w:pos="69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Eligibility</w:t>
      </w:r>
    </w:p>
    <w:p>
      <w:pPr>
        <w:spacing w:after="0" w:line="140" w:lineRule="exact"/>
        <w:rPr>
          <w:sz w:val="20"/>
          <w:szCs w:val="20"/>
          <w:color w:val="auto"/>
        </w:rPr>
      </w:pPr>
    </w:p>
    <w:p>
      <w:pPr>
        <w:jc w:val="both"/>
        <w:ind w:left="10" w:right="60" w:firstLine="709"/>
        <w:spacing w:after="0" w:line="233" w:lineRule="auto"/>
        <w:rPr>
          <w:sz w:val="20"/>
          <w:szCs w:val="20"/>
          <w:color w:val="auto"/>
        </w:rPr>
      </w:pPr>
      <w:r>
        <w:rPr>
          <w:rFonts w:ascii="Arial" w:cs="Arial" w:eastAsia="Arial" w:hAnsi="Arial"/>
          <w:sz w:val="17"/>
          <w:szCs w:val="17"/>
          <w:color w:val="auto"/>
        </w:rPr>
        <w:t>The Persons who shall be eligible to receive Incentive Awards pursuant to the Plan shall be those employees and directors of the Company the Committee shall select from time to time. Each Incentive Award granted under the Plan shall be evidenced by an instrument in writing in form and substance approved by the Committee.</w:t>
      </w:r>
    </w:p>
    <w:p>
      <w:pPr>
        <w:spacing w:after="0" w:line="200" w:lineRule="exact"/>
        <w:rPr>
          <w:sz w:val="20"/>
          <w:szCs w:val="20"/>
          <w:color w:val="auto"/>
        </w:rPr>
      </w:pPr>
    </w:p>
    <w:p>
      <w:pPr>
        <w:spacing w:after="0" w:line="273" w:lineRule="exact"/>
        <w:rPr>
          <w:sz w:val="20"/>
          <w:szCs w:val="20"/>
          <w:color w:val="auto"/>
        </w:rPr>
      </w:pPr>
    </w:p>
    <w:p>
      <w:pPr>
        <w:ind w:left="690" w:hanging="690"/>
        <w:spacing w:after="0"/>
        <w:tabs>
          <w:tab w:leader="none" w:pos="69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Options</w:t>
      </w:r>
    </w:p>
    <w:p>
      <w:pPr>
        <w:spacing w:after="0" w:line="140" w:lineRule="exact"/>
        <w:rPr>
          <w:sz w:val="20"/>
          <w:szCs w:val="20"/>
          <w:color w:val="auto"/>
        </w:rPr>
      </w:pPr>
    </w:p>
    <w:p>
      <w:pPr>
        <w:ind w:left="710"/>
        <w:spacing w:after="0"/>
        <w:rPr>
          <w:sz w:val="20"/>
          <w:szCs w:val="20"/>
          <w:color w:val="auto"/>
        </w:rPr>
      </w:pPr>
      <w:r>
        <w:rPr>
          <w:rFonts w:ascii="Arial" w:cs="Arial" w:eastAsia="Arial" w:hAnsi="Arial"/>
          <w:sz w:val="17"/>
          <w:szCs w:val="17"/>
          <w:color w:val="auto"/>
        </w:rPr>
        <w:t>The Committee may from time to time grant Options, subject to the following terms and conditions:</w:t>
      </w:r>
    </w:p>
    <w:p>
      <w:pPr>
        <w:spacing w:after="0" w:line="140" w:lineRule="exact"/>
        <w:rPr>
          <w:sz w:val="20"/>
          <w:szCs w:val="20"/>
          <w:color w:val="auto"/>
        </w:rPr>
      </w:pPr>
    </w:p>
    <w:p>
      <w:pPr>
        <w:ind w:left="1350" w:hanging="438"/>
        <w:spacing w:after="0"/>
        <w:tabs>
          <w:tab w:leader="none" w:pos="135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Exercise Price</w:t>
      </w:r>
    </w:p>
    <w:p>
      <w:pPr>
        <w:spacing w:after="0" w:line="140" w:lineRule="exact"/>
        <w:rPr>
          <w:sz w:val="20"/>
          <w:szCs w:val="20"/>
          <w:color w:val="auto"/>
        </w:rPr>
      </w:pPr>
    </w:p>
    <w:p>
      <w:pPr>
        <w:ind w:left="1310" w:right="40" w:hanging="404"/>
        <w:spacing w:after="0" w:line="235" w:lineRule="auto"/>
        <w:rPr>
          <w:sz w:val="20"/>
          <w:szCs w:val="20"/>
          <w:color w:val="auto"/>
        </w:rPr>
      </w:pPr>
      <w:r>
        <w:rPr>
          <w:rFonts w:ascii="Arial" w:cs="Arial" w:eastAsia="Arial" w:hAnsi="Arial"/>
          <w:sz w:val="17"/>
          <w:szCs w:val="17"/>
          <w:color w:val="auto"/>
        </w:rPr>
        <w:t>The exercise price per share of Common Stock covered by any Option shall be not less than 100% of the Fair Market Value of a share of Common Stock on the date on which such Option is granted.</w:t>
      </w:r>
    </w:p>
    <w:p>
      <w:pPr>
        <w:spacing w:after="0" w:line="138" w:lineRule="exact"/>
        <w:rPr>
          <w:sz w:val="20"/>
          <w:szCs w:val="20"/>
          <w:color w:val="auto"/>
        </w:rPr>
      </w:pPr>
    </w:p>
    <w:p>
      <w:pPr>
        <w:ind w:left="1350" w:hanging="438"/>
        <w:spacing w:after="0"/>
        <w:tabs>
          <w:tab w:leader="none" w:pos="1350"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Term and Exercise of Options</w:t>
      </w:r>
    </w:p>
    <w:p>
      <w:pPr>
        <w:spacing w:after="0" w:line="139" w:lineRule="exact"/>
        <w:rPr>
          <w:rFonts w:ascii="Arial" w:cs="Arial" w:eastAsia="Arial" w:hAnsi="Arial"/>
          <w:sz w:val="17"/>
          <w:szCs w:val="17"/>
          <w:color w:val="auto"/>
        </w:rPr>
      </w:pPr>
    </w:p>
    <w:p>
      <w:pPr>
        <w:jc w:val="both"/>
        <w:ind w:left="10" w:right="40" w:firstLine="700"/>
        <w:spacing w:after="0" w:line="232" w:lineRule="auto"/>
        <w:tabs>
          <w:tab w:leader="none" w:pos="9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Each Option shall become vested and exercisable on such date or dates, during such period and for such number of shares of Common as shall be determined by the Committee on or after the date such Option is granted;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Option shall be exercisable after the expiration of ten years from the date such Option is granted;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each Option shall be subject to earlier termination, expiration cancellation as provided in the Plan or in the agreement evidencing such Option.</w:t>
      </w:r>
    </w:p>
    <w:p>
      <w:pPr>
        <w:spacing w:after="0" w:line="137" w:lineRule="exact"/>
        <w:rPr>
          <w:rFonts w:ascii="Arial" w:cs="Arial" w:eastAsia="Arial" w:hAnsi="Arial"/>
          <w:sz w:val="17"/>
          <w:szCs w:val="17"/>
          <w:color w:val="auto"/>
        </w:rPr>
      </w:pPr>
    </w:p>
    <w:p>
      <w:pPr>
        <w:ind w:left="10" w:firstLine="700"/>
        <w:spacing w:after="0" w:line="260" w:lineRule="auto"/>
        <w:tabs>
          <w:tab w:leader="none" w:pos="9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Each Option may be exercised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partial exercise of an Option shall be for an aggregate exer price of less than $1,000. The partial exercise of an Option shall not cause the expiration, termination or cancellation of the remaining portion thereof.</w:t>
      </w:r>
    </w:p>
    <w:p>
      <w:pPr>
        <w:spacing w:after="0" w:line="122" w:lineRule="exact"/>
        <w:rPr>
          <w:rFonts w:ascii="Arial" w:cs="Arial" w:eastAsia="Arial" w:hAnsi="Arial"/>
          <w:sz w:val="16"/>
          <w:szCs w:val="16"/>
          <w:color w:val="auto"/>
        </w:rPr>
      </w:pPr>
    </w:p>
    <w:p>
      <w:pPr>
        <w:ind w:left="10" w:firstLine="700"/>
        <w:spacing w:after="0" w:line="235" w:lineRule="auto"/>
        <w:tabs>
          <w:tab w:leader="none" w:pos="9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Option shall be exercised by such methods and procedures as the Committee determines from time to time, including without limitatio through net physical settlement or other method of cashless exercise.</w:t>
      </w:r>
    </w:p>
    <w:p>
      <w:pPr>
        <w:spacing w:after="0" w:line="138" w:lineRule="exact"/>
        <w:rPr>
          <w:rFonts w:ascii="Arial" w:cs="Arial" w:eastAsia="Arial" w:hAnsi="Arial"/>
          <w:sz w:val="17"/>
          <w:szCs w:val="17"/>
          <w:color w:val="auto"/>
        </w:rPr>
      </w:pPr>
    </w:p>
    <w:p>
      <w:pPr>
        <w:jc w:val="both"/>
        <w:ind w:left="10" w:firstLine="700"/>
        <w:spacing w:after="0" w:line="232" w:lineRule="auto"/>
        <w:tabs>
          <w:tab w:leader="none" w:pos="9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Options may not be sold, pledged, assigned, hypothecated, transferred, or disposed of in any manner other than by will or by the laws of descent or distribution and may be exercised, during the lifetime of a Participant, only by the Participant;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Committee may p in its discretion Options to be sold, pledged, assigned, hypothecated, transferred, or disposed of, on a general or specific basis, subject to such condit and limitations as the Committee may determine.</w:t>
      </w:r>
    </w:p>
    <w:p>
      <w:pPr>
        <w:spacing w:after="0" w:line="137" w:lineRule="exact"/>
        <w:rPr>
          <w:rFonts w:ascii="Arial" w:cs="Arial" w:eastAsia="Arial" w:hAnsi="Arial"/>
          <w:sz w:val="17"/>
          <w:szCs w:val="17"/>
          <w:color w:val="auto"/>
        </w:rPr>
      </w:pPr>
    </w:p>
    <w:p>
      <w:pPr>
        <w:ind w:left="1330" w:hanging="418"/>
        <w:spacing w:after="0"/>
        <w:tabs>
          <w:tab w:leader="none" w:pos="133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Effect of Termination of Employment or Other Relationship</w:t>
      </w:r>
    </w:p>
    <w:p>
      <w:pPr>
        <w:spacing w:after="0" w:line="140" w:lineRule="exact"/>
        <w:rPr>
          <w:sz w:val="20"/>
          <w:szCs w:val="20"/>
          <w:color w:val="auto"/>
        </w:rPr>
      </w:pPr>
    </w:p>
    <w:p>
      <w:pPr>
        <w:ind w:left="10" w:right="220" w:firstLine="709"/>
        <w:spacing w:after="0" w:line="235" w:lineRule="auto"/>
        <w:rPr>
          <w:sz w:val="20"/>
          <w:szCs w:val="20"/>
          <w:color w:val="auto"/>
        </w:rPr>
      </w:pPr>
      <w:r>
        <w:rPr>
          <w:rFonts w:ascii="Arial" w:cs="Arial" w:eastAsia="Arial" w:hAnsi="Arial"/>
          <w:sz w:val="17"/>
          <w:szCs w:val="17"/>
          <w:color w:val="auto"/>
        </w:rPr>
        <w:t>The agreement evidencing the award of each Option shall specify the consequences with respect to such Option of the termination of the employment or other service between the Company and the Participant holding the Option.</w:t>
      </w:r>
    </w:p>
    <w:p>
      <w:pPr>
        <w:spacing w:after="0" w:line="138" w:lineRule="exact"/>
        <w:rPr>
          <w:sz w:val="20"/>
          <w:szCs w:val="20"/>
          <w:color w:val="auto"/>
        </w:rPr>
      </w:pPr>
    </w:p>
    <w:p>
      <w:pPr>
        <w:ind w:left="690" w:hanging="690"/>
        <w:spacing w:after="0"/>
        <w:tabs>
          <w:tab w:leader="none" w:pos="69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Other Stock-Based Awards</w:t>
      </w:r>
    </w:p>
    <w:p>
      <w:pPr>
        <w:spacing w:after="0" w:line="140" w:lineRule="exact"/>
        <w:rPr>
          <w:sz w:val="20"/>
          <w:szCs w:val="20"/>
          <w:color w:val="auto"/>
        </w:rPr>
      </w:pPr>
    </w:p>
    <w:p>
      <w:pPr>
        <w:jc w:val="both"/>
        <w:ind w:left="10" w:firstLine="709"/>
        <w:spacing w:after="0" w:line="230" w:lineRule="auto"/>
        <w:rPr>
          <w:sz w:val="20"/>
          <w:szCs w:val="20"/>
          <w:color w:val="auto"/>
        </w:rPr>
      </w:pPr>
      <w:r>
        <w:rPr>
          <w:rFonts w:ascii="Arial" w:cs="Arial" w:eastAsia="Arial" w:hAnsi="Arial"/>
          <w:sz w:val="17"/>
          <w:szCs w:val="17"/>
          <w:color w:val="auto"/>
        </w:rPr>
        <w:t xml:space="preserve">The Committee may grant equity-based or equity-related awards not otherwise described herein in such amounts and subject to such terms conditions as the Committee shall determine. Without limiting the generality of the preceding sentence, each such Other Stock-Based Award may (i) in the transfer of actual shares of Common Stock to Participants, either at the time of grant or thereafter, or payment in cash or otherwise of amounts bas the value of shares of Common Stock, (ii) be subject to performance-based and/or service-based conditions, (iii) be in the form of stock appreciation ri phantom stock, restricted stock, restricted stock units, performance shares, deferred share units or share-denominated performance units, (iv) be desi to comply with applicable laws of jurisdictions other than the United States and (v) be designed to qualify as Performance-Based Compensation; </w:t>
      </w:r>
      <w:r>
        <w:rPr>
          <w:rFonts w:ascii="Arial" w:cs="Arial" w:eastAsia="Arial" w:hAnsi="Arial"/>
          <w:sz w:val="17"/>
          <w:szCs w:val="17"/>
          <w:u w:val="single" w:color="auto"/>
          <w:color w:val="auto"/>
        </w:rPr>
        <w:t>provi</w:t>
      </w:r>
      <w:r>
        <w:rPr>
          <w:rFonts w:ascii="Arial" w:cs="Arial" w:eastAsia="Arial" w:hAnsi="Arial"/>
          <w:sz w:val="17"/>
          <w:szCs w:val="17"/>
          <w:color w:val="auto"/>
        </w:rPr>
        <w:t xml:space="preserve"> that each Other Stock-Based Award shall be denominated in, or shall have a value determined by reference to, a number of shares of Common Stock specified at the time of the grant of such award.</w:t>
      </w:r>
    </w:p>
    <w:p>
      <w:pPr>
        <w:spacing w:after="0" w:line="139" w:lineRule="exact"/>
        <w:rPr>
          <w:sz w:val="20"/>
          <w:szCs w:val="20"/>
          <w:color w:val="auto"/>
        </w:rPr>
      </w:pPr>
    </w:p>
    <w:p>
      <w:pPr>
        <w:ind w:left="690" w:hanging="690"/>
        <w:spacing w:after="0"/>
        <w:tabs>
          <w:tab w:leader="none" w:pos="69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Cash Incentive Awards</w:t>
      </w:r>
    </w:p>
    <w:p>
      <w:pPr>
        <w:spacing w:after="0" w:line="140" w:lineRule="exact"/>
        <w:rPr>
          <w:sz w:val="20"/>
          <w:szCs w:val="20"/>
          <w:color w:val="auto"/>
        </w:rPr>
      </w:pPr>
    </w:p>
    <w:p>
      <w:pPr>
        <w:jc w:val="both"/>
        <w:ind w:left="10" w:firstLine="709"/>
        <w:spacing w:after="0" w:line="233" w:lineRule="auto"/>
        <w:rPr>
          <w:sz w:val="20"/>
          <w:szCs w:val="20"/>
          <w:color w:val="auto"/>
        </w:rPr>
      </w:pPr>
      <w:r>
        <w:rPr>
          <w:rFonts w:ascii="Arial" w:cs="Arial" w:eastAsia="Arial" w:hAnsi="Arial"/>
          <w:sz w:val="17"/>
          <w:szCs w:val="17"/>
          <w:color w:val="auto"/>
        </w:rPr>
        <w:t>The Committee may grant Cash Incentive Awards with respect to any Performance Period, subject to the terms and conditions of the Plan. C Incentive Awards may be settled in cash or in other property, including shares of Common Stock, provided that the term “Cash Incentive Award” shall exclude any Stock Incentive Award. Cash Incentive Awards may be designed to qualify as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408940</wp:posOffset>
            </wp:positionV>
            <wp:extent cx="727837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34" w:right="139" w:bottom="1440" w:gutter="0" w:footer="0" w:header="0"/>
        </w:sectPr>
      </w:pPr>
    </w:p>
    <w:bookmarkStart w:id="34" w:name="page35"/>
    <w:bookmarkEnd w:id="34"/>
    <w:p>
      <w:pPr>
        <w:ind w:left="690" w:hanging="690"/>
        <w:spacing w:after="0"/>
        <w:tabs>
          <w:tab w:leader="none" w:pos="69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Performance-Based Compensation</w:t>
      </w:r>
    </w:p>
    <w:p>
      <w:pPr>
        <w:spacing w:after="0" w:line="139" w:lineRule="exact"/>
        <w:rPr>
          <w:rFonts w:ascii="Arial" w:cs="Arial" w:eastAsia="Arial" w:hAnsi="Arial"/>
          <w:sz w:val="17"/>
          <w:szCs w:val="17"/>
          <w:color w:val="auto"/>
        </w:rPr>
      </w:pPr>
    </w:p>
    <w:p>
      <w:pPr>
        <w:ind w:left="1350" w:hanging="438"/>
        <w:spacing w:after="0"/>
        <w:tabs>
          <w:tab w:leader="none" w:pos="1350"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Calculation</w:t>
      </w:r>
    </w:p>
    <w:p>
      <w:pPr>
        <w:spacing w:after="0" w:line="140" w:lineRule="exact"/>
        <w:rPr>
          <w:sz w:val="20"/>
          <w:szCs w:val="20"/>
          <w:color w:val="auto"/>
        </w:rPr>
      </w:pPr>
    </w:p>
    <w:p>
      <w:pPr>
        <w:ind w:left="10" w:firstLine="709"/>
        <w:spacing w:after="0" w:line="235" w:lineRule="auto"/>
        <w:rPr>
          <w:sz w:val="20"/>
          <w:szCs w:val="20"/>
          <w:color w:val="auto"/>
        </w:rPr>
      </w:pPr>
      <w:r>
        <w:rPr>
          <w:rFonts w:ascii="Arial" w:cs="Arial" w:eastAsia="Arial" w:hAnsi="Arial"/>
          <w:sz w:val="17"/>
          <w:szCs w:val="17"/>
          <w:color w:val="auto"/>
        </w:rPr>
        <w:t>The amount payable with respect to an Incentive Award that is intended to qualify as Performance-Based Compensation shall be determined any manner permitted by Section 162(m) of the Code.</w:t>
      </w:r>
    </w:p>
    <w:p>
      <w:pPr>
        <w:spacing w:after="0" w:line="138" w:lineRule="exact"/>
        <w:rPr>
          <w:sz w:val="20"/>
          <w:szCs w:val="20"/>
          <w:color w:val="auto"/>
        </w:rPr>
      </w:pPr>
    </w:p>
    <w:p>
      <w:pPr>
        <w:ind w:left="1350" w:hanging="438"/>
        <w:spacing w:after="0"/>
        <w:tabs>
          <w:tab w:leader="none" w:pos="135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Discretionary Reduction</w:t>
      </w:r>
    </w:p>
    <w:p>
      <w:pPr>
        <w:spacing w:after="0" w:line="140" w:lineRule="exact"/>
        <w:rPr>
          <w:sz w:val="20"/>
          <w:szCs w:val="20"/>
          <w:color w:val="auto"/>
        </w:rPr>
      </w:pPr>
    </w:p>
    <w:p>
      <w:pPr>
        <w:ind w:left="10" w:firstLine="709"/>
        <w:spacing w:after="0" w:line="231" w:lineRule="auto"/>
        <w:rPr>
          <w:sz w:val="20"/>
          <w:szCs w:val="20"/>
          <w:color w:val="auto"/>
        </w:rPr>
      </w:pPr>
      <w:r>
        <w:rPr>
          <w:rFonts w:ascii="Arial" w:cs="Arial" w:eastAsia="Arial" w:hAnsi="Arial"/>
          <w:sz w:val="17"/>
          <w:szCs w:val="17"/>
          <w:color w:val="auto"/>
        </w:rPr>
        <w:t>Unless otherwise specified in the agreement evidencing the grant of an Incentive Award that is intended to qualify as Performance-Based Compensation, the Committee may, in its discretion, reduce or eliminate the amount payable to any Participant with respect to the Incentive Award, ba on such factors as the Committee may deem relevant, but the Committee may not increase any such amount above the amount established in accord with the relevant Performance Schedule. For purposes of clarity, the Committee may exercise the discretion provided for by the foregoing sentence in uniform manner among Participants.</w:t>
      </w:r>
    </w:p>
    <w:p>
      <w:pPr>
        <w:spacing w:after="0" w:line="139" w:lineRule="exact"/>
        <w:rPr>
          <w:sz w:val="20"/>
          <w:szCs w:val="20"/>
          <w:color w:val="auto"/>
        </w:rPr>
      </w:pPr>
    </w:p>
    <w:p>
      <w:pPr>
        <w:ind w:left="1330" w:hanging="418"/>
        <w:spacing w:after="0"/>
        <w:tabs>
          <w:tab w:leader="none" w:pos="133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Performance Measures</w:t>
      </w:r>
    </w:p>
    <w:p>
      <w:pPr>
        <w:spacing w:after="0" w:line="140" w:lineRule="exact"/>
        <w:rPr>
          <w:sz w:val="20"/>
          <w:szCs w:val="20"/>
          <w:color w:val="auto"/>
        </w:rPr>
      </w:pPr>
    </w:p>
    <w:p>
      <w:pPr>
        <w:ind w:left="10" w:firstLine="709"/>
        <w:spacing w:after="0" w:line="245" w:lineRule="auto"/>
        <w:rPr>
          <w:sz w:val="20"/>
          <w:szCs w:val="20"/>
          <w:color w:val="auto"/>
        </w:rPr>
      </w:pPr>
      <w:r>
        <w:rPr>
          <w:rFonts w:ascii="Arial" w:cs="Arial" w:eastAsia="Arial" w:hAnsi="Arial"/>
          <w:sz w:val="16"/>
          <w:szCs w:val="16"/>
          <w:color w:val="auto"/>
        </w:rPr>
        <w:t>The performance goals upon which the payment or vesting of any Incentive Award (other than Options and stock appreciation rights) that is intended to qualify as Performance-Based Compensation depends shall relate to one or more of the following Performance Measures: market price of Common Stock, earnings per share of Common Stock, net income or profit (before or after taxes), return on stockholder equity, cash flow, return on as earnings before interest and taxes, earnings before interest, taxes, depreciation and amortization, earnings from continuing operations, sales or reven capital or investment, market share, cost reduction goals, budget comparisons, implementation or completion of specified projects or processes, the formation of joint ventures, research or development collaborations, or the completion of other transactions, any other measure of financial performanc can be determined pursuant to U.S. generally accepted accounting principles, or any combination of any of the foregoing.</w:t>
      </w:r>
    </w:p>
    <w:p>
      <w:pPr>
        <w:spacing w:after="0" w:line="137" w:lineRule="exact"/>
        <w:rPr>
          <w:sz w:val="20"/>
          <w:szCs w:val="20"/>
          <w:color w:val="auto"/>
        </w:rPr>
      </w:pPr>
    </w:p>
    <w:p>
      <w:pPr>
        <w:jc w:val="both"/>
        <w:ind w:left="10" w:firstLine="709"/>
        <w:spacing w:after="0" w:line="230" w:lineRule="auto"/>
        <w:rPr>
          <w:sz w:val="20"/>
          <w:szCs w:val="20"/>
          <w:color w:val="auto"/>
        </w:rPr>
      </w:pPr>
      <w:r>
        <w:rPr>
          <w:rFonts w:ascii="Arial" w:cs="Arial" w:eastAsia="Arial" w:hAnsi="Arial"/>
          <w:sz w:val="17"/>
          <w:szCs w:val="17"/>
          <w:color w:val="auto"/>
        </w:rPr>
        <w:t>A Performance Measure (i) may relate to the performance of the Participant, TWPC, a Subsidiary, any business group, any business unit or subdivision of the Company, or any combination of the foregoing, as the Committee deems appropriate and (ii) may be expressed as an amount, as a increase or decrease over a specified period, as a relative comparison to the performance of a group of comparator companies or a published or spec index, or any other external measure of the selected performance criteria, as the Committee deems appropriate. The measurement of any Performanc Measure may exclude the impact of charges for restructurings, discontinued operations, extraordinary items, and other unusual or non-recurring items the cumulative effects of accounting changes, each as defined by generally accepted accounting principles and as identified in the Company’s audited financial statements, including the notes thereto.</w:t>
      </w:r>
    </w:p>
    <w:p>
      <w:pPr>
        <w:spacing w:after="0" w:line="141" w:lineRule="exact"/>
        <w:rPr>
          <w:sz w:val="20"/>
          <w:szCs w:val="20"/>
          <w:color w:val="auto"/>
        </w:rPr>
      </w:pPr>
    </w:p>
    <w:p>
      <w:pPr>
        <w:ind w:left="1350" w:hanging="438"/>
        <w:spacing w:after="0"/>
        <w:tabs>
          <w:tab w:leader="none" w:pos="135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Performance Schedules</w:t>
      </w:r>
    </w:p>
    <w:p>
      <w:pPr>
        <w:spacing w:after="0" w:line="140" w:lineRule="exact"/>
        <w:rPr>
          <w:sz w:val="20"/>
          <w:szCs w:val="20"/>
          <w:color w:val="auto"/>
        </w:rPr>
      </w:pPr>
    </w:p>
    <w:p>
      <w:pPr>
        <w:jc w:val="both"/>
        <w:ind w:left="10" w:firstLine="709"/>
        <w:spacing w:after="0" w:line="233" w:lineRule="auto"/>
        <w:rPr>
          <w:sz w:val="20"/>
          <w:szCs w:val="20"/>
          <w:color w:val="auto"/>
        </w:rPr>
      </w:pPr>
      <w:r>
        <w:rPr>
          <w:rFonts w:ascii="Arial" w:cs="Arial" w:eastAsia="Arial" w:hAnsi="Arial"/>
          <w:sz w:val="17"/>
          <w:szCs w:val="17"/>
          <w:color w:val="auto"/>
        </w:rPr>
        <w:t>Within 90 days after the beginning of a Performance Period, and in any case before 25% of the Performance Period has elapsed, the Comm shall establish (a) Performance Targets for such Performance Period, (b) Target Awards for each Participant, and (c) Performance Schedules for such Performance Period.</w:t>
      </w:r>
    </w:p>
    <w:p>
      <w:pPr>
        <w:spacing w:after="0" w:line="138" w:lineRule="exact"/>
        <w:rPr>
          <w:sz w:val="20"/>
          <w:szCs w:val="20"/>
          <w:color w:val="auto"/>
        </w:rPr>
      </w:pPr>
    </w:p>
    <w:p>
      <w:pPr>
        <w:ind w:left="1350" w:hanging="438"/>
        <w:spacing w:after="0"/>
        <w:tabs>
          <w:tab w:leader="none" w:pos="135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p>
    <w:p>
      <w:pPr>
        <w:spacing w:after="0" w:line="140" w:lineRule="exact"/>
        <w:rPr>
          <w:sz w:val="20"/>
          <w:szCs w:val="20"/>
          <w:color w:val="auto"/>
        </w:rPr>
      </w:pPr>
    </w:p>
    <w:p>
      <w:pPr>
        <w:ind w:left="10" w:firstLine="709"/>
        <w:spacing w:after="0" w:line="232" w:lineRule="auto"/>
        <w:rPr>
          <w:sz w:val="20"/>
          <w:szCs w:val="20"/>
          <w:color w:val="auto"/>
        </w:rPr>
      </w:pPr>
      <w:r>
        <w:rPr>
          <w:rFonts w:ascii="Arial" w:cs="Arial" w:eastAsia="Arial" w:hAnsi="Arial"/>
          <w:sz w:val="17"/>
          <w:szCs w:val="17"/>
          <w:color w:val="auto"/>
        </w:rPr>
        <w:t>The consequences with respect to a Performance-Based Award of the termination of employment of the Participant holding the Performance Based Award shall be determined by the Committee in its sole discretion and set forth in the applicable Award Agreement, it being intended that no agreement providing for a payment to a Participant upon termination of employment without cause shall be given effect to the extent that it would caus Incentive Award that was intended to qualify as a Performance-Based Award to fail to so qualify.</w:t>
      </w:r>
    </w:p>
    <w:p>
      <w:pPr>
        <w:spacing w:after="0" w:line="138" w:lineRule="exact"/>
        <w:rPr>
          <w:sz w:val="20"/>
          <w:szCs w:val="20"/>
          <w:color w:val="auto"/>
        </w:rPr>
      </w:pPr>
    </w:p>
    <w:p>
      <w:pPr>
        <w:ind w:left="1350" w:hanging="438"/>
        <w:spacing w:after="0"/>
        <w:tabs>
          <w:tab w:leader="none" w:pos="135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p>
    <w:p>
      <w:pPr>
        <w:spacing w:after="0" w:line="140" w:lineRule="exact"/>
        <w:rPr>
          <w:sz w:val="20"/>
          <w:szCs w:val="20"/>
          <w:color w:val="auto"/>
        </w:rPr>
      </w:pPr>
    </w:p>
    <w:p>
      <w:pPr>
        <w:jc w:val="both"/>
        <w:ind w:left="10" w:firstLine="709"/>
        <w:spacing w:after="0" w:line="233" w:lineRule="auto"/>
        <w:rPr>
          <w:sz w:val="20"/>
          <w:szCs w:val="20"/>
          <w:color w:val="auto"/>
        </w:rPr>
      </w:pPr>
      <w:r>
        <w:rPr>
          <w:rFonts w:ascii="Arial" w:cs="Arial" w:eastAsia="Arial" w:hAnsi="Arial"/>
          <w:sz w:val="17"/>
          <w:szCs w:val="17"/>
          <w:color w:val="auto"/>
        </w:rPr>
        <w:t>Nothing in this Section 9 is intended to limit the Committee’s discretion to adopt conditions with respect to any Incentive Award that is not int to qualify as Performance-Based Compensation. In addition, the Committee may, subject to the terms of the Plan, amend previously granted Incentive Awards in a way that disqualifies them as Performance-Based Compensation.</w:t>
      </w:r>
    </w:p>
    <w:p>
      <w:pPr>
        <w:spacing w:after="0" w:line="138" w:lineRule="exact"/>
        <w:rPr>
          <w:sz w:val="20"/>
          <w:szCs w:val="20"/>
          <w:color w:val="auto"/>
        </w:rPr>
      </w:pPr>
    </w:p>
    <w:p>
      <w:pPr>
        <w:ind w:left="690" w:hanging="690"/>
        <w:spacing w:after="0"/>
        <w:tabs>
          <w:tab w:leader="none" w:pos="69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Adjustment Upon Certain Changes</w:t>
      </w:r>
    </w:p>
    <w:p>
      <w:pPr>
        <w:spacing w:after="0" w:line="140" w:lineRule="exact"/>
        <w:rPr>
          <w:sz w:val="20"/>
          <w:szCs w:val="20"/>
          <w:color w:val="auto"/>
        </w:rPr>
      </w:pPr>
    </w:p>
    <w:p>
      <w:pPr>
        <w:ind w:left="10" w:right="40" w:firstLine="709"/>
        <w:spacing w:after="0" w:line="235" w:lineRule="auto"/>
        <w:rPr>
          <w:sz w:val="20"/>
          <w:szCs w:val="20"/>
          <w:color w:val="auto"/>
        </w:rPr>
      </w:pPr>
      <w:r>
        <w:rPr>
          <w:rFonts w:ascii="Arial" w:cs="Arial" w:eastAsia="Arial" w:hAnsi="Arial"/>
          <w:sz w:val="17"/>
          <w:szCs w:val="17"/>
          <w:color w:val="auto"/>
        </w:rPr>
        <w:t>Subject to any action by the shareholders of TWPC required by law, applicable tax rules or the rules of any exchange on which shares of co stock of TWPC are listed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408940</wp:posOffset>
            </wp:positionV>
            <wp:extent cx="727837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34" w:right="139" w:bottom="1440" w:gutter="0" w:footer="0" w:header="0"/>
        </w:sectPr>
      </w:pPr>
    </w:p>
    <w:bookmarkStart w:id="35" w:name="page36"/>
    <w:bookmarkEnd w:id="35"/>
    <w:p>
      <w:pPr>
        <w:ind w:left="1349" w:hanging="438"/>
        <w:spacing w:after="0"/>
        <w:tabs>
          <w:tab w:leader="none" w:pos="1349"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Shares Available for Grants</w:t>
      </w:r>
    </w:p>
    <w:p>
      <w:pPr>
        <w:spacing w:after="0" w:line="140" w:lineRule="exact"/>
        <w:rPr>
          <w:sz w:val="20"/>
          <w:szCs w:val="20"/>
          <w:color w:val="auto"/>
        </w:rPr>
      </w:pPr>
    </w:p>
    <w:p>
      <w:pPr>
        <w:ind w:left="9" w:firstLine="709"/>
        <w:spacing w:after="0" w:line="230" w:lineRule="auto"/>
        <w:rPr>
          <w:sz w:val="20"/>
          <w:szCs w:val="20"/>
          <w:color w:val="auto"/>
        </w:rPr>
      </w:pPr>
      <w:r>
        <w:rPr>
          <w:rFonts w:ascii="Arial" w:cs="Arial" w:eastAsia="Arial" w:hAnsi="Arial"/>
          <w:sz w:val="17"/>
          <w:szCs w:val="17"/>
          <w:color w:val="auto"/>
        </w:rPr>
        <w:t>In the event of any change in the number or type of shares of common stock of TWPC outstanding by reason of any stock dividend or split, recapitalization, merger, consolidation, combination or exchange of shares or similar corporate change, the type and maximum aggregate number of s of Common Stock with respect to which the Committee may grant Incentive Awards and the maximum aggregate number of shares of Common Stock respect to which the Committee may grant Incentive Awards to any individual Participant in any year shall be appropriately adjusted by the Committee the event of any change in the type or number of shares of common stock of TWPC outstanding by reason of any other event or transaction, the Com may, to the extent deemed appropriate by the Committee, make such adjustments in the number and class of shares of Common Stock with respect t which Incentive Awards may be granted.</w:t>
      </w:r>
    </w:p>
    <w:p>
      <w:pPr>
        <w:spacing w:after="0" w:line="141" w:lineRule="exact"/>
        <w:rPr>
          <w:sz w:val="20"/>
          <w:szCs w:val="20"/>
          <w:color w:val="auto"/>
        </w:rPr>
      </w:pPr>
    </w:p>
    <w:p>
      <w:pPr>
        <w:ind w:left="1349" w:hanging="438"/>
        <w:spacing w:after="0"/>
        <w:tabs>
          <w:tab w:leader="none" w:pos="1349"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Increase or Decrease in Issued Shares Without Consideration</w:t>
      </w:r>
    </w:p>
    <w:p>
      <w:pPr>
        <w:spacing w:after="0" w:line="140" w:lineRule="exact"/>
        <w:rPr>
          <w:sz w:val="20"/>
          <w:szCs w:val="20"/>
          <w:color w:val="auto"/>
        </w:rPr>
      </w:pPr>
    </w:p>
    <w:p>
      <w:pPr>
        <w:ind w:left="9" w:firstLine="709"/>
        <w:spacing w:after="0" w:line="231" w:lineRule="auto"/>
        <w:rPr>
          <w:sz w:val="20"/>
          <w:szCs w:val="20"/>
          <w:color w:val="auto"/>
        </w:rPr>
      </w:pPr>
      <w:r>
        <w:rPr>
          <w:rFonts w:ascii="Arial" w:cs="Arial" w:eastAsia="Arial" w:hAnsi="Arial"/>
          <w:sz w:val="17"/>
          <w:szCs w:val="17"/>
          <w:color w:val="auto"/>
        </w:rPr>
        <w:t>In the event of any increase or decrease in the type or number of issued shares of common stock of TWPC resulting from a subdivision or consolidation of shares of common stock of TWPC or the payment of a stock dividend (but only on the shares of common stock of TWPC), or any othe increase or decrease in the number of such shares effected without receipt or payment of consideration by the Company, the Committee may, to the e deemed appropriate by the Committee, adjust the type or number of shares of Common Stock subject to each outstanding Incentive Award and the ex price per share of Common Stock of each such Incentive Award.</w:t>
      </w:r>
    </w:p>
    <w:p>
      <w:pPr>
        <w:spacing w:after="0" w:line="139" w:lineRule="exact"/>
        <w:rPr>
          <w:sz w:val="20"/>
          <w:szCs w:val="20"/>
          <w:color w:val="auto"/>
        </w:rPr>
      </w:pPr>
    </w:p>
    <w:p>
      <w:pPr>
        <w:ind w:left="1149" w:hanging="554"/>
        <w:spacing w:after="0"/>
        <w:tabs>
          <w:tab w:leader="none" w:pos="114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Certain Mergers</w:t>
      </w:r>
    </w:p>
    <w:p>
      <w:pPr>
        <w:spacing w:after="0" w:line="140" w:lineRule="exact"/>
        <w:rPr>
          <w:sz w:val="20"/>
          <w:szCs w:val="20"/>
          <w:color w:val="auto"/>
        </w:rPr>
      </w:pPr>
    </w:p>
    <w:p>
      <w:pPr>
        <w:jc w:val="both"/>
        <w:ind w:left="9" w:right="20" w:firstLine="709"/>
        <w:spacing w:after="0" w:line="248" w:lineRule="auto"/>
        <w:rPr>
          <w:sz w:val="20"/>
          <w:szCs w:val="20"/>
          <w:color w:val="auto"/>
        </w:rPr>
      </w:pPr>
      <w:r>
        <w:rPr>
          <w:rFonts w:ascii="Arial" w:cs="Arial" w:eastAsia="Arial" w:hAnsi="Arial"/>
          <w:sz w:val="16"/>
          <w:szCs w:val="16"/>
          <w:color w:val="auto"/>
        </w:rPr>
        <w:t>In the event of any merger, consolidation or similar transaction as a result of which the holders of shares of Common Stock receive consider consisting exclusively of securities of the surviving corporation in such transaction, the Committee may, to the extent deemed appropriate by the Com adjust each Incentive Award outstanding on the date of such merger or consolidation so that it pertains and applies to the securities which a holder of number of shares of Common Stock subject to such Incentive Award would have received in such merger or consolidation.</w:t>
      </w:r>
    </w:p>
    <w:p>
      <w:pPr>
        <w:spacing w:after="0" w:line="133" w:lineRule="exact"/>
        <w:rPr>
          <w:sz w:val="20"/>
          <w:szCs w:val="20"/>
          <w:color w:val="auto"/>
        </w:rPr>
      </w:pPr>
    </w:p>
    <w:p>
      <w:pPr>
        <w:ind w:left="1349" w:hanging="438"/>
        <w:spacing w:after="0"/>
        <w:tabs>
          <w:tab w:leader="none" w:pos="134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Certain Other Transactions</w:t>
      </w:r>
    </w:p>
    <w:p>
      <w:pPr>
        <w:spacing w:after="0" w:line="140" w:lineRule="exact"/>
        <w:rPr>
          <w:sz w:val="20"/>
          <w:szCs w:val="20"/>
          <w:color w:val="auto"/>
        </w:rPr>
      </w:pPr>
    </w:p>
    <w:p>
      <w:pPr>
        <w:ind w:left="709"/>
        <w:spacing w:after="0"/>
        <w:rPr>
          <w:sz w:val="20"/>
          <w:szCs w:val="20"/>
          <w:color w:val="auto"/>
        </w:rPr>
      </w:pPr>
      <w:r>
        <w:rPr>
          <w:rFonts w:ascii="Arial" w:cs="Arial" w:eastAsia="Arial" w:hAnsi="Arial"/>
          <w:sz w:val="16"/>
          <w:szCs w:val="16"/>
          <w:color w:val="auto"/>
        </w:rPr>
        <w:t>In the event of (i) a dissolution or liquidation of TWPC, (ii) a sale of all or substantially all of the Company’s assets (on a consolidated basis),</w:t>
      </w:r>
    </w:p>
    <w:p>
      <w:pPr>
        <w:spacing w:after="0" w:line="2" w:lineRule="exact"/>
        <w:rPr>
          <w:sz w:val="20"/>
          <w:szCs w:val="20"/>
          <w:color w:val="auto"/>
        </w:rPr>
      </w:pPr>
    </w:p>
    <w:p>
      <w:pPr>
        <w:ind w:left="9" w:right="40" w:hanging="9"/>
        <w:spacing w:after="0" w:line="260" w:lineRule="auto"/>
        <w:tabs>
          <w:tab w:leader="none" w:pos="2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merger, consolidation or similar transaction involving TWPC in which the holders of shares of Common Stock receive securities and/or other pro including cash, other than shares of the surviving corporation in such transaction, the Committee shall, in its sole discretion, have the power to:</w:t>
      </w:r>
    </w:p>
    <w:p>
      <w:pPr>
        <w:spacing w:after="0" w:line="122" w:lineRule="exact"/>
        <w:rPr>
          <w:rFonts w:ascii="Arial" w:cs="Arial" w:eastAsia="Arial" w:hAnsi="Arial"/>
          <w:sz w:val="16"/>
          <w:szCs w:val="16"/>
          <w:color w:val="auto"/>
        </w:rPr>
      </w:pPr>
    </w:p>
    <w:p>
      <w:pPr>
        <w:jc w:val="both"/>
        <w:ind w:left="709" w:firstLine="708"/>
        <w:spacing w:after="0" w:line="247" w:lineRule="auto"/>
        <w:tabs>
          <w:tab w:leader="none" w:pos="1611" w:val="left"/>
        </w:tabs>
        <w:numPr>
          <w:ilvl w:val="2"/>
          <w:numId w:val="38"/>
        </w:numPr>
        <w:rPr>
          <w:rFonts w:ascii="Arial" w:cs="Arial" w:eastAsia="Arial" w:hAnsi="Arial"/>
          <w:sz w:val="16"/>
          <w:szCs w:val="16"/>
          <w:color w:val="auto"/>
        </w:rPr>
      </w:pPr>
      <w:r>
        <w:rPr>
          <w:rFonts w:ascii="Arial" w:cs="Arial" w:eastAsia="Arial" w:hAnsi="Arial"/>
          <w:sz w:val="16"/>
          <w:szCs w:val="16"/>
          <w:color w:val="auto"/>
        </w:rPr>
        <w:t>cancel, effective immediately prior to the occurrence of such event, each Incentive Award (whether or not then exercisable or ve and, in full consideration of such cancellation, pay to the Participant to whom such Incentive Award was granted an amount in cash, for each of Common Stock subject to such Incentive Award, equal to the value, as determined by the Committee, of such Incentive Award, provided t with respect to any outstanding Option such value shall be equal to the excess of (A) the value, as determined by the Committee, of the prop (including cash) received by the holder of a share of Common Stock as a result of such event over (B) the exercise price of such Option; or</w:t>
      </w:r>
    </w:p>
    <w:p>
      <w:pPr>
        <w:spacing w:after="0" w:line="132" w:lineRule="exact"/>
        <w:rPr>
          <w:rFonts w:ascii="Arial" w:cs="Arial" w:eastAsia="Arial" w:hAnsi="Arial"/>
          <w:sz w:val="16"/>
          <w:szCs w:val="16"/>
          <w:color w:val="auto"/>
        </w:rPr>
      </w:pPr>
    </w:p>
    <w:p>
      <w:pPr>
        <w:jc w:val="both"/>
        <w:ind w:left="709" w:firstLine="708"/>
        <w:spacing w:after="0" w:line="231" w:lineRule="auto"/>
        <w:tabs>
          <w:tab w:leader="none" w:pos="1648" w:val="left"/>
        </w:tabs>
        <w:numPr>
          <w:ilvl w:val="2"/>
          <w:numId w:val="38"/>
        </w:numPr>
        <w:rPr>
          <w:rFonts w:ascii="Arial" w:cs="Arial" w:eastAsia="Arial" w:hAnsi="Arial"/>
          <w:sz w:val="17"/>
          <w:szCs w:val="17"/>
          <w:color w:val="auto"/>
        </w:rPr>
      </w:pPr>
      <w:r>
        <w:rPr>
          <w:rFonts w:ascii="Arial" w:cs="Arial" w:eastAsia="Arial" w:hAnsi="Arial"/>
          <w:sz w:val="17"/>
          <w:szCs w:val="17"/>
          <w:color w:val="auto"/>
        </w:rPr>
        <w:t>provide for the exchange of each Incentive Award (whether or not then exercisable or vested) for an Incentive Award with respe some or all of the property which a holder of the number of shares of Common Stock subject to such Incentive Award would have received in transaction and, incident thereto, make an equitable adjustment as determined by the Committee in the exercise price of the Incentive Award the number of shares or amount of property subject to the Incentive Award or provide for a payment (in cash or other property) to the Particip whom such Incentive Award was granted in partial consideration for the exchange of the Incentive Award.</w:t>
      </w:r>
    </w:p>
    <w:p>
      <w:pPr>
        <w:spacing w:after="0" w:line="138" w:lineRule="exact"/>
        <w:rPr>
          <w:rFonts w:ascii="Arial" w:cs="Arial" w:eastAsia="Arial" w:hAnsi="Arial"/>
          <w:sz w:val="17"/>
          <w:szCs w:val="17"/>
          <w:color w:val="auto"/>
        </w:rPr>
      </w:pPr>
    </w:p>
    <w:p>
      <w:pPr>
        <w:ind w:left="1349" w:hanging="438"/>
        <w:spacing w:after="0"/>
        <w:tabs>
          <w:tab w:leader="none" w:pos="1349"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Other Changes</w:t>
      </w:r>
    </w:p>
    <w:p>
      <w:pPr>
        <w:spacing w:after="0" w:line="140" w:lineRule="exact"/>
        <w:rPr>
          <w:sz w:val="20"/>
          <w:szCs w:val="20"/>
          <w:color w:val="auto"/>
        </w:rPr>
      </w:pPr>
    </w:p>
    <w:p>
      <w:pPr>
        <w:jc w:val="both"/>
        <w:ind w:left="9" w:firstLine="709"/>
        <w:spacing w:after="0" w:line="231" w:lineRule="auto"/>
        <w:rPr>
          <w:sz w:val="20"/>
          <w:szCs w:val="20"/>
          <w:color w:val="auto"/>
        </w:rPr>
      </w:pPr>
      <w:r>
        <w:rPr>
          <w:rFonts w:ascii="Arial" w:cs="Arial" w:eastAsia="Arial" w:hAnsi="Arial"/>
          <w:sz w:val="17"/>
          <w:szCs w:val="17"/>
          <w:color w:val="auto"/>
        </w:rPr>
        <w:t>In the event of any change in the capitalization of TWPC or corporate change other than those specifically referred to in paragraphs 10(b), (c (d), the Committee may make such adjustments in the number and class of shares subject to Stock Incentive Awards outstanding on the date on whic change occurs and in such other terms of such Incentive Awards, including without limitation in any Performance Schedule, Performance Target or Tar Award, as the Committee may consider appropriate, provided that if any such Incentive Award is intended to be Performance-Based Compensation su adjustment is consistent with the requirements of Section 162(m) of the Code.</w:t>
      </w:r>
    </w:p>
    <w:p>
      <w:pPr>
        <w:spacing w:after="0" w:line="139" w:lineRule="exact"/>
        <w:rPr>
          <w:sz w:val="20"/>
          <w:szCs w:val="20"/>
          <w:color w:val="auto"/>
        </w:rPr>
      </w:pPr>
    </w:p>
    <w:p>
      <w:pPr>
        <w:ind w:left="1349" w:hanging="438"/>
        <w:spacing w:after="0"/>
        <w:tabs>
          <w:tab w:leader="none" w:pos="134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Cash Incentive Awards</w:t>
      </w:r>
    </w:p>
    <w:p>
      <w:pPr>
        <w:spacing w:after="0" w:line="140" w:lineRule="exact"/>
        <w:rPr>
          <w:sz w:val="20"/>
          <w:szCs w:val="20"/>
          <w:color w:val="auto"/>
        </w:rPr>
      </w:pPr>
    </w:p>
    <w:p>
      <w:pPr>
        <w:ind w:left="709"/>
        <w:spacing w:after="0"/>
        <w:rPr>
          <w:sz w:val="20"/>
          <w:szCs w:val="20"/>
          <w:color w:val="auto"/>
        </w:rPr>
      </w:pPr>
      <w:r>
        <w:rPr>
          <w:rFonts w:ascii="Arial" w:cs="Arial" w:eastAsia="Arial" w:hAnsi="Arial"/>
          <w:sz w:val="16"/>
          <w:szCs w:val="16"/>
          <w:color w:val="auto"/>
        </w:rPr>
        <w:t>In the event of any transaction or event described in this Section 10, including without limitation any corporate change referred to in paragrap</w:t>
      </w:r>
    </w:p>
    <w:p>
      <w:pPr>
        <w:spacing w:after="0" w:line="2" w:lineRule="exact"/>
        <w:rPr>
          <w:sz w:val="20"/>
          <w:szCs w:val="20"/>
          <w:color w:val="auto"/>
        </w:rPr>
      </w:pPr>
    </w:p>
    <w:p>
      <w:pPr>
        <w:ind w:left="9" w:right="20" w:hanging="9"/>
        <w:spacing w:after="0" w:line="235" w:lineRule="auto"/>
        <w:tabs>
          <w:tab w:leader="none" w:pos="257" w:val="left"/>
        </w:tabs>
        <w:numPr>
          <w:ilvl w:val="0"/>
          <w:numId w:val="40"/>
        </w:numPr>
        <w:rPr>
          <w:rFonts w:ascii="Arial" w:cs="Arial" w:eastAsia="Arial" w:hAnsi="Arial"/>
          <w:sz w:val="17"/>
          <w:szCs w:val="17"/>
          <w:color w:val="auto"/>
        </w:rPr>
      </w:pPr>
      <w:r>
        <w:rPr>
          <w:rFonts w:ascii="Arial" w:cs="Arial" w:eastAsia="Arial" w:hAnsi="Arial"/>
          <w:sz w:val="17"/>
          <w:szCs w:val="17"/>
          <w:color w:val="auto"/>
        </w:rPr>
        <w:t>hereof, the Committee may, in its sole discretion, make such adjustments in any Performance Schedule, Performance Target or Target Award, and such other terms of any Cash Incentive Award,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196215</wp:posOffset>
            </wp:positionV>
            <wp:extent cx="727837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34" w:right="139" w:bottom="1440" w:gutter="0" w:footer="0" w:header="0"/>
        </w:sectPr>
      </w:pPr>
    </w:p>
    <w:bookmarkStart w:id="36" w:name="page37"/>
    <w:bookmarkEnd w:id="36"/>
    <w:p>
      <w:pPr>
        <w:ind w:left="10"/>
        <w:spacing w:after="0" w:line="235" w:lineRule="auto"/>
        <w:rPr>
          <w:sz w:val="20"/>
          <w:szCs w:val="20"/>
          <w:color w:val="auto"/>
        </w:rPr>
      </w:pPr>
      <w:r>
        <w:rPr>
          <w:rFonts w:ascii="Arial" w:cs="Arial" w:eastAsia="Arial" w:hAnsi="Arial"/>
          <w:sz w:val="17"/>
          <w:szCs w:val="17"/>
          <w:color w:val="auto"/>
        </w:rPr>
        <w:t>the Committee may consider appropriate in respect of such transaction or event, provided that if such Cash Incentive Award is intended to be Perform Based Compensation such adjustment is consistent with the requirements of Section 162(m) of the Code.</w:t>
      </w:r>
    </w:p>
    <w:p>
      <w:pPr>
        <w:spacing w:after="0" w:line="138" w:lineRule="exact"/>
        <w:rPr>
          <w:sz w:val="20"/>
          <w:szCs w:val="20"/>
          <w:color w:val="auto"/>
        </w:rPr>
      </w:pPr>
    </w:p>
    <w:p>
      <w:pPr>
        <w:ind w:left="1350" w:hanging="438"/>
        <w:spacing w:after="0"/>
        <w:tabs>
          <w:tab w:leader="none" w:pos="135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 Other Rights</w:t>
      </w:r>
    </w:p>
    <w:p>
      <w:pPr>
        <w:spacing w:after="0" w:line="140" w:lineRule="exact"/>
        <w:rPr>
          <w:sz w:val="20"/>
          <w:szCs w:val="20"/>
          <w:color w:val="auto"/>
        </w:rPr>
      </w:pPr>
    </w:p>
    <w:p>
      <w:pPr>
        <w:ind w:left="10" w:firstLine="709"/>
        <w:spacing w:after="0" w:line="231" w:lineRule="auto"/>
        <w:rPr>
          <w:sz w:val="20"/>
          <w:szCs w:val="20"/>
          <w:color w:val="auto"/>
        </w:rPr>
      </w:pPr>
      <w:r>
        <w:rPr>
          <w:rFonts w:ascii="Arial" w:cs="Arial" w:eastAsia="Arial" w:hAnsi="Arial"/>
          <w:sz w:val="17"/>
          <w:szCs w:val="17"/>
          <w:color w:val="auto"/>
        </w:rPr>
        <w:t>Except as expressly provided in the Plan, no Participant shall have any rights by reason of any subdivision or consolidation of shares of stoc any class, the payment of any dividend, any increase or decrease in the number of shares of stock of any class or any dissolution, liquidation, merger consolidation of TWPC or any other corporation. Except as expressly provided in the Plan, no issuance by TWPC of shares of stock of any class, or securities convertible into shares of stock of any class, shall affect, and no adjustment by reason thereof shall be made with respect to, the number of shares or amount of other property subject to, or the terms related to, any Incentive Award.</w:t>
      </w:r>
    </w:p>
    <w:p>
      <w:pPr>
        <w:spacing w:after="0" w:line="139" w:lineRule="exact"/>
        <w:rPr>
          <w:sz w:val="20"/>
          <w:szCs w:val="20"/>
          <w:color w:val="auto"/>
        </w:rPr>
      </w:pPr>
    </w:p>
    <w:p>
      <w:pPr>
        <w:ind w:left="1350" w:hanging="438"/>
        <w:spacing w:after="0"/>
        <w:tabs>
          <w:tab w:leader="none" w:pos="135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Savings Clause</w:t>
      </w:r>
    </w:p>
    <w:p>
      <w:pPr>
        <w:spacing w:after="0" w:line="140" w:lineRule="exact"/>
        <w:rPr>
          <w:sz w:val="20"/>
          <w:szCs w:val="20"/>
          <w:color w:val="auto"/>
        </w:rPr>
      </w:pPr>
    </w:p>
    <w:p>
      <w:pPr>
        <w:ind w:left="10" w:right="40" w:firstLine="709"/>
        <w:spacing w:after="0" w:line="235" w:lineRule="auto"/>
        <w:rPr>
          <w:sz w:val="20"/>
          <w:szCs w:val="20"/>
          <w:color w:val="auto"/>
        </w:rPr>
      </w:pPr>
      <w:r>
        <w:rPr>
          <w:rFonts w:ascii="Arial" w:cs="Arial" w:eastAsia="Arial" w:hAnsi="Arial"/>
          <w:sz w:val="17"/>
          <w:szCs w:val="17"/>
          <w:color w:val="auto"/>
        </w:rPr>
        <w:t>No provision of this Section 10 shall be given effect to the extent that such provision would cause any tax to become due under Section 409 the Code.</w:t>
      </w:r>
    </w:p>
    <w:p>
      <w:pPr>
        <w:spacing w:after="0" w:line="138" w:lineRule="exact"/>
        <w:rPr>
          <w:sz w:val="20"/>
          <w:szCs w:val="20"/>
          <w:color w:val="auto"/>
        </w:rPr>
      </w:pPr>
    </w:p>
    <w:p>
      <w:pPr>
        <w:ind w:left="690" w:hanging="690"/>
        <w:spacing w:after="0"/>
        <w:tabs>
          <w:tab w:leader="none" w:pos="69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Rights Under the Plan</w:t>
      </w:r>
    </w:p>
    <w:p>
      <w:pPr>
        <w:spacing w:after="0" w:line="140" w:lineRule="exact"/>
        <w:rPr>
          <w:sz w:val="20"/>
          <w:szCs w:val="20"/>
          <w:color w:val="auto"/>
        </w:rPr>
      </w:pPr>
    </w:p>
    <w:p>
      <w:pPr>
        <w:ind w:left="10" w:firstLine="709"/>
        <w:spacing w:after="0" w:line="247" w:lineRule="auto"/>
        <w:rPr>
          <w:sz w:val="20"/>
          <w:szCs w:val="20"/>
          <w:color w:val="auto"/>
        </w:rPr>
      </w:pPr>
      <w:r>
        <w:rPr>
          <w:rFonts w:ascii="Arial" w:cs="Arial" w:eastAsia="Arial" w:hAnsi="Arial"/>
          <w:sz w:val="16"/>
          <w:szCs w:val="16"/>
          <w:color w:val="auto"/>
        </w:rPr>
        <w:t>No Person shall have any rights as a stockholder with respect to any shares of Common Stock covered by or relating to any Incentive Award the date of the issuance of such shares on the books and records of TWPC. Except as otherwise expressly provided in Section 10 hereof, no adjustm any Incentive Award shall be made for dividends or other rights for which the record date occurs prior to the date of such issuance. Nothing in this Section 11 is intended, or should be construed, to limit authority of the Committee to cause the Company to make payments based on the dividends th would be payable with respect to any share of Common Stock if it were issued or outstanding, or from granting rights related to such dividends.</w:t>
      </w:r>
    </w:p>
    <w:p>
      <w:pPr>
        <w:spacing w:after="0" w:line="133" w:lineRule="exact"/>
        <w:rPr>
          <w:sz w:val="20"/>
          <w:szCs w:val="20"/>
          <w:color w:val="auto"/>
        </w:rPr>
      </w:pPr>
    </w:p>
    <w:p>
      <w:pPr>
        <w:jc w:val="both"/>
        <w:ind w:left="10" w:right="20" w:firstLine="709"/>
        <w:spacing w:after="0" w:line="233" w:lineRule="auto"/>
        <w:rPr>
          <w:sz w:val="20"/>
          <w:szCs w:val="20"/>
          <w:color w:val="auto"/>
        </w:rPr>
      </w:pPr>
      <w:r>
        <w:rPr>
          <w:rFonts w:ascii="Arial" w:cs="Arial" w:eastAsia="Arial" w:hAnsi="Arial"/>
          <w:sz w:val="17"/>
          <w:szCs w:val="17"/>
          <w:color w:val="auto"/>
        </w:rPr>
        <w:t>The Company shall not have any obligation to establish any separate fund or trust or other segregation of assets to provide for payments un the Plan. To the extent any person acquires any rights to receive payments hereunder from the Company, such rights shall be no greater than those o unsecured creditor.</w:t>
      </w:r>
    </w:p>
    <w:p>
      <w:pPr>
        <w:spacing w:after="0" w:line="138" w:lineRule="exact"/>
        <w:rPr>
          <w:sz w:val="20"/>
          <w:szCs w:val="20"/>
          <w:color w:val="auto"/>
        </w:rPr>
      </w:pPr>
    </w:p>
    <w:p>
      <w:pPr>
        <w:ind w:left="690" w:hanging="690"/>
        <w:spacing w:after="0"/>
        <w:tabs>
          <w:tab w:leader="none" w:pos="69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 Special Employment Rights; No Right to Incentive Award</w:t>
      </w:r>
    </w:p>
    <w:p>
      <w:pPr>
        <w:spacing w:after="0" w:line="139" w:lineRule="exact"/>
        <w:rPr>
          <w:rFonts w:ascii="Arial" w:cs="Arial" w:eastAsia="Arial" w:hAnsi="Arial"/>
          <w:sz w:val="17"/>
          <w:szCs w:val="17"/>
          <w:color w:val="auto"/>
        </w:rPr>
      </w:pPr>
    </w:p>
    <w:p>
      <w:pPr>
        <w:ind w:left="10" w:firstLine="700"/>
        <w:spacing w:after="0" w:line="233" w:lineRule="auto"/>
        <w:tabs>
          <w:tab w:leader="none" w:pos="967"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Nothing contained in the Plan or any Incentive Award shall confer upon any Participant any right with respect to the continuation of his employment by or service to the Company or interfere in any way with the right of the Company at any time to terminate such employment or service o increase or decrease the compensation of the Participant from the rate in existence at the time of the grant of an Incentive Award.</w:t>
      </w:r>
    </w:p>
    <w:p>
      <w:pPr>
        <w:spacing w:after="0" w:line="138" w:lineRule="exact"/>
        <w:rPr>
          <w:rFonts w:ascii="Arial" w:cs="Arial" w:eastAsia="Arial" w:hAnsi="Arial"/>
          <w:sz w:val="17"/>
          <w:szCs w:val="17"/>
          <w:color w:val="auto"/>
        </w:rPr>
      </w:pPr>
    </w:p>
    <w:p>
      <w:pPr>
        <w:ind w:left="10" w:firstLine="700"/>
        <w:spacing w:after="0" w:line="233" w:lineRule="auto"/>
        <w:tabs>
          <w:tab w:leader="none" w:pos="967"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 person shall have any claim or right to receive an Incentive Award hereunder. The Committee’s granting of an Incentive Award to a Participant at any time shall neither require the Committee to grant an Incentive Award to such Participant or any other Participant or other person at a time nor preclude the Committee from making subsequent grants to such Participant or any other Participant or other person.</w:t>
      </w:r>
    </w:p>
    <w:p>
      <w:pPr>
        <w:spacing w:after="0" w:line="138" w:lineRule="exact"/>
        <w:rPr>
          <w:rFonts w:ascii="Arial" w:cs="Arial" w:eastAsia="Arial" w:hAnsi="Arial"/>
          <w:sz w:val="17"/>
          <w:szCs w:val="17"/>
          <w:color w:val="auto"/>
        </w:rPr>
      </w:pPr>
    </w:p>
    <w:p>
      <w:pPr>
        <w:ind w:left="690" w:hanging="690"/>
        <w:spacing w:after="0"/>
        <w:tabs>
          <w:tab w:leader="none" w:pos="69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Securities Matters</w:t>
      </w:r>
    </w:p>
    <w:p>
      <w:pPr>
        <w:spacing w:after="0" w:line="139" w:lineRule="exact"/>
        <w:rPr>
          <w:rFonts w:ascii="Arial" w:cs="Arial" w:eastAsia="Arial" w:hAnsi="Arial"/>
          <w:sz w:val="17"/>
          <w:szCs w:val="17"/>
          <w:color w:val="auto"/>
        </w:rPr>
      </w:pPr>
    </w:p>
    <w:p>
      <w:pPr>
        <w:ind w:left="10" w:firstLine="700"/>
        <w:spacing w:after="0" w:line="230" w:lineRule="auto"/>
        <w:tabs>
          <w:tab w:leader="none" w:pos="967" w:val="left"/>
        </w:tabs>
        <w:numPr>
          <w:ilvl w:val="1"/>
          <w:numId w:val="44"/>
        </w:numPr>
        <w:rPr>
          <w:rFonts w:ascii="Arial" w:cs="Arial" w:eastAsia="Arial" w:hAnsi="Arial"/>
          <w:sz w:val="17"/>
          <w:szCs w:val="17"/>
          <w:color w:val="auto"/>
        </w:rPr>
      </w:pPr>
      <w:r>
        <w:rPr>
          <w:rFonts w:ascii="Arial" w:cs="Arial" w:eastAsia="Arial" w:hAnsi="Arial"/>
          <w:sz w:val="17"/>
          <w:szCs w:val="17"/>
          <w:color w:val="auto"/>
        </w:rPr>
        <w:t>TWPC shall be under no obligation to effect the registration pursuant to the Securities Act of any shares of Common Stock to be issued hereunder or to effect similar compliance under any state laws. Notwithstanding anything herein to the contrary, TWPC shall not be obligated to cause issued any shares of Common Stock pursuant to the Plan unless and until TWPC is advised by its counsel that the issuance of such shares is in comp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certificates representing such shares bear such legends, as the Committ deems necessary or desirable.</w:t>
      </w:r>
    </w:p>
    <w:p>
      <w:pPr>
        <w:spacing w:after="0" w:line="140" w:lineRule="exact"/>
        <w:rPr>
          <w:rFonts w:ascii="Arial" w:cs="Arial" w:eastAsia="Arial" w:hAnsi="Arial"/>
          <w:sz w:val="17"/>
          <w:szCs w:val="17"/>
          <w:color w:val="auto"/>
        </w:rPr>
      </w:pPr>
    </w:p>
    <w:p>
      <w:pPr>
        <w:ind w:left="10" w:firstLine="700"/>
        <w:spacing w:after="0" w:line="245" w:lineRule="auto"/>
        <w:tabs>
          <w:tab w:leader="none" w:pos="967"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exercise of any Option granted hereunder shall only be effective at such time as counsel to TWPC shall have determined that the iss of shares of Common Stock pursuant to such exercise is in compliance with all applicable laws, regulations of governmental authority and the require of any securities exchange on which shares of Common Stock are traded. TWPC may, in its sole discretion, defer the effectiveness of an exercise of a Option hereunder or the issuance of shares of Common Stock pursuant to any Incentive Award pending or to ensure compliance under federal or stat securities laws. TWPC shall inform the Participant in writing of its decision to defer the effectiveness of the exercise of an Option or the issuance of sh of Common Stock pursuant to any Incentive Award. During the period that the effectiveness of the exercise of an Option has been deferred, the Partic may, by written notice, withdraw such exercise and obtain the refund of any amount paid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195580</wp:posOffset>
            </wp:positionV>
            <wp:extent cx="727837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34" w:right="139" w:bottom="1440" w:gutter="0" w:footer="0" w:header="0"/>
        </w:sectPr>
      </w:pPr>
    </w:p>
    <w:bookmarkStart w:id="37" w:name="page38"/>
    <w:bookmarkEnd w:id="37"/>
    <w:p>
      <w:pPr>
        <w:ind w:left="690" w:hanging="690"/>
        <w:spacing w:after="0"/>
        <w:tabs>
          <w:tab w:leader="none" w:pos="69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Withholding Taxes</w:t>
      </w:r>
    </w:p>
    <w:p>
      <w:pPr>
        <w:spacing w:after="0" w:line="140" w:lineRule="exact"/>
        <w:rPr>
          <w:sz w:val="20"/>
          <w:szCs w:val="20"/>
          <w:color w:val="auto"/>
        </w:rPr>
      </w:pPr>
    </w:p>
    <w:p>
      <w:pPr>
        <w:ind w:left="1350" w:hanging="438"/>
        <w:spacing w:after="0"/>
        <w:tabs>
          <w:tab w:leader="none" w:pos="135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Cash Remittance</w:t>
      </w:r>
    </w:p>
    <w:p>
      <w:pPr>
        <w:spacing w:after="0" w:line="140" w:lineRule="exact"/>
        <w:rPr>
          <w:sz w:val="20"/>
          <w:szCs w:val="20"/>
          <w:color w:val="auto"/>
        </w:rPr>
      </w:pPr>
    </w:p>
    <w:p>
      <w:pPr>
        <w:jc w:val="both"/>
        <w:ind w:left="10" w:firstLine="709"/>
        <w:spacing w:after="0" w:line="230" w:lineRule="auto"/>
        <w:rPr>
          <w:sz w:val="20"/>
          <w:szCs w:val="20"/>
          <w:color w:val="auto"/>
        </w:rPr>
      </w:pPr>
      <w:r>
        <w:rPr>
          <w:rFonts w:ascii="Arial" w:cs="Arial" w:eastAsia="Arial" w:hAnsi="Arial"/>
          <w:sz w:val="17"/>
          <w:szCs w:val="17"/>
          <w:color w:val="auto"/>
        </w:rPr>
        <w:t>Whenever shares of Common Stock are to be issued upon the exercise of an Option or the grant or vesting of an Incentive Award, and when any amount shall become payable in respect of any Incentive Award, TWPC shall have the right to require the Participant to remit to TWPC in cash an amount sufficient to satisfy federal, state and local withholding tax requirements, if any, attributable to such exercise, grant, vesting or payment prior to issuance of such shares or the effectiveness of the lapse of such restrictions or making of such payment. In addition, upon the exercise or settlement Incentive Award in cash, or the making of any other payment with respect to any Incentive Award (other than in shares of Common Stock), TWPC sha have the right to withhold from any payment required to be made pursuant thereto an amount sufficient to satisfy the federal, state and local withholdin requirements, if any, attributable to such exercise, settlement or payment.</w:t>
      </w:r>
    </w:p>
    <w:p>
      <w:pPr>
        <w:spacing w:after="0" w:line="141" w:lineRule="exact"/>
        <w:rPr>
          <w:sz w:val="20"/>
          <w:szCs w:val="20"/>
          <w:color w:val="auto"/>
        </w:rPr>
      </w:pPr>
    </w:p>
    <w:p>
      <w:pPr>
        <w:ind w:left="1350" w:hanging="438"/>
        <w:spacing w:after="0"/>
        <w:tabs>
          <w:tab w:leader="none" w:pos="135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Stock Remittance</w:t>
      </w:r>
    </w:p>
    <w:p>
      <w:pPr>
        <w:spacing w:after="0" w:line="140" w:lineRule="exact"/>
        <w:rPr>
          <w:sz w:val="20"/>
          <w:szCs w:val="20"/>
          <w:color w:val="auto"/>
        </w:rPr>
      </w:pPr>
    </w:p>
    <w:p>
      <w:pPr>
        <w:jc w:val="both"/>
        <w:ind w:left="10" w:firstLine="709"/>
        <w:spacing w:after="0" w:line="247" w:lineRule="auto"/>
        <w:rPr>
          <w:sz w:val="20"/>
          <w:szCs w:val="20"/>
          <w:color w:val="auto"/>
        </w:rPr>
      </w:pPr>
      <w:r>
        <w:rPr>
          <w:rFonts w:ascii="Arial" w:cs="Arial" w:eastAsia="Arial" w:hAnsi="Arial"/>
          <w:sz w:val="16"/>
          <w:szCs w:val="16"/>
          <w:color w:val="auto"/>
        </w:rPr>
        <w:t>At the election of the Participant, subject to the approval of the Committee, when shares of Common Stock are to be issued upon the exercis grant or vesting of an Incentive Award, the Participant may tender to TWPC a number of shares of Common Stock that have been owned by the Partic for at least six months (or such other period as the Committee may determine) having a Fair Market Value at the tender date determined by the Comm to be sufficient to satisfy the minimum federal, state and local withholding tax requirements, if any, attributable to such exercise, grant or vesting but no greater than the minimum withholding obligations. Such election shall satisfy the Participant’s obligations under Section 14(a) hereof, if any.</w:t>
      </w:r>
    </w:p>
    <w:p>
      <w:pPr>
        <w:spacing w:after="0" w:line="133" w:lineRule="exact"/>
        <w:rPr>
          <w:sz w:val="20"/>
          <w:szCs w:val="20"/>
          <w:color w:val="auto"/>
        </w:rPr>
      </w:pPr>
    </w:p>
    <w:p>
      <w:pPr>
        <w:ind w:left="1330" w:hanging="418"/>
        <w:spacing w:after="0"/>
        <w:tabs>
          <w:tab w:leader="none" w:pos="133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Stock Withholding</w:t>
      </w:r>
    </w:p>
    <w:p>
      <w:pPr>
        <w:spacing w:after="0" w:line="140" w:lineRule="exact"/>
        <w:rPr>
          <w:sz w:val="20"/>
          <w:szCs w:val="20"/>
          <w:color w:val="auto"/>
        </w:rPr>
      </w:pPr>
    </w:p>
    <w:p>
      <w:pPr>
        <w:jc w:val="both"/>
        <w:ind w:left="10" w:firstLine="709"/>
        <w:spacing w:after="0" w:line="248" w:lineRule="auto"/>
        <w:rPr>
          <w:sz w:val="20"/>
          <w:szCs w:val="20"/>
          <w:color w:val="auto"/>
        </w:rPr>
      </w:pPr>
      <w:r>
        <w:rPr>
          <w:rFonts w:ascii="Arial" w:cs="Arial" w:eastAsia="Arial" w:hAnsi="Arial"/>
          <w:sz w:val="16"/>
          <w:szCs w:val="16"/>
          <w:color w:val="auto"/>
        </w:rPr>
        <w:t>At the election of the Participant, subject to the approval of the Committee, when shares of Common Stock are to be issued upon the exercis grant or vesting of an Incentive Award, TWPC shall withhold a number of such shares having a Fair Market Value at the exercise date determined by t Committee to be sufficient to satisfy the minimum federal, state and local withholding tax requirements, if any, attributable to such exercise, grant or ve but not greater than the minimum withholding obligations. Such election shall satisfy the Participant’s obligations under Section 14(a) hereof, if any.</w:t>
      </w:r>
    </w:p>
    <w:p>
      <w:pPr>
        <w:spacing w:after="0" w:line="133" w:lineRule="exact"/>
        <w:rPr>
          <w:sz w:val="20"/>
          <w:szCs w:val="20"/>
          <w:color w:val="auto"/>
        </w:rPr>
      </w:pPr>
    </w:p>
    <w:p>
      <w:pPr>
        <w:ind w:left="690" w:hanging="690"/>
        <w:spacing w:after="0"/>
        <w:tabs>
          <w:tab w:leader="none" w:pos="69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Amendment or Termination of the Plan</w:t>
      </w:r>
    </w:p>
    <w:p>
      <w:pPr>
        <w:spacing w:after="0" w:line="140" w:lineRule="exact"/>
        <w:rPr>
          <w:sz w:val="20"/>
          <w:szCs w:val="20"/>
          <w:color w:val="auto"/>
        </w:rPr>
      </w:pPr>
    </w:p>
    <w:p>
      <w:pPr>
        <w:ind w:left="10" w:firstLine="709"/>
        <w:spacing w:after="0" w:line="230" w:lineRule="auto"/>
        <w:rPr>
          <w:sz w:val="20"/>
          <w:szCs w:val="20"/>
          <w:color w:val="auto"/>
        </w:rPr>
      </w:pPr>
      <w:r>
        <w:rPr>
          <w:rFonts w:ascii="Arial" w:cs="Arial" w:eastAsia="Arial" w:hAnsi="Arial"/>
          <w:sz w:val="17"/>
          <w:szCs w:val="17"/>
          <w:color w:val="auto"/>
        </w:rPr>
        <w:t xml:space="preserve">The Board of Directors may at any time suspend or discontinue the Plan or revise or amend it in any respect whatsoever;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to the extent that any applicable law, tax requirement, or rule of a stock exchange requires shareholder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 the Plan. No provision of this Section 15 shall be given effect to the extent that such provision would cause any tax to become due under Section 409A the Code. Except as expressly provided in the Plan, no action hereunder may, without the consent of a Participant, reduce the Participant’s rights und previously granted and outstanding Incentive Award. Nothing in the Plan shall limit the right of the Company to pay compensation of any kind outside t terms of the Plan.</w:t>
      </w:r>
    </w:p>
    <w:p>
      <w:pPr>
        <w:spacing w:after="0" w:line="139" w:lineRule="exact"/>
        <w:rPr>
          <w:sz w:val="20"/>
          <w:szCs w:val="20"/>
          <w:color w:val="auto"/>
        </w:rPr>
      </w:pPr>
    </w:p>
    <w:p>
      <w:pPr>
        <w:ind w:left="690" w:hanging="690"/>
        <w:spacing w:after="0"/>
        <w:tabs>
          <w:tab w:leader="none" w:pos="69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Obligation to Exercise</w:t>
      </w:r>
    </w:p>
    <w:p>
      <w:pPr>
        <w:spacing w:after="0" w:line="140" w:lineRule="exact"/>
        <w:rPr>
          <w:sz w:val="20"/>
          <w:szCs w:val="20"/>
          <w:color w:val="auto"/>
        </w:rPr>
      </w:pPr>
    </w:p>
    <w:p>
      <w:pPr>
        <w:jc w:val="center"/>
        <w:ind w:right="-49"/>
        <w:spacing w:after="0"/>
        <w:rPr>
          <w:sz w:val="20"/>
          <w:szCs w:val="20"/>
          <w:color w:val="auto"/>
        </w:rPr>
      </w:pPr>
      <w:r>
        <w:rPr>
          <w:rFonts w:ascii="Arial" w:cs="Arial" w:eastAsia="Arial" w:hAnsi="Arial"/>
          <w:sz w:val="17"/>
          <w:szCs w:val="17"/>
          <w:color w:val="auto"/>
        </w:rPr>
        <w:t>The grant to a Participant of an Incentive Award shall impose no obligation upon such Participant to exercise such Incentive Award.</w:t>
      </w:r>
    </w:p>
    <w:p>
      <w:pPr>
        <w:spacing w:after="0" w:line="140" w:lineRule="exact"/>
        <w:rPr>
          <w:sz w:val="20"/>
          <w:szCs w:val="20"/>
          <w:color w:val="auto"/>
        </w:rPr>
      </w:pPr>
    </w:p>
    <w:p>
      <w:pPr>
        <w:ind w:left="690" w:hanging="690"/>
        <w:spacing w:after="0"/>
        <w:tabs>
          <w:tab w:leader="none" w:pos="69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Transfers Upon Death</w:t>
      </w:r>
    </w:p>
    <w:p>
      <w:pPr>
        <w:spacing w:after="0" w:line="140" w:lineRule="exact"/>
        <w:rPr>
          <w:sz w:val="20"/>
          <w:szCs w:val="20"/>
          <w:color w:val="auto"/>
        </w:rPr>
      </w:pPr>
    </w:p>
    <w:p>
      <w:pPr>
        <w:ind w:left="10" w:firstLine="709"/>
        <w:spacing w:after="0" w:line="230" w:lineRule="auto"/>
        <w:rPr>
          <w:sz w:val="20"/>
          <w:szCs w:val="20"/>
          <w:color w:val="auto"/>
        </w:rPr>
      </w:pPr>
      <w:r>
        <w:rPr>
          <w:rFonts w:ascii="Arial" w:cs="Arial" w:eastAsia="Arial" w:hAnsi="Arial"/>
          <w:sz w:val="17"/>
          <w:szCs w:val="17"/>
          <w:color w:val="auto"/>
        </w:rPr>
        <w:t>Upon the death of a Participant, outstanding Incentive Awards granted to such Participant may be exercised only by the executors or administrators of the Participant’s estate or by any person or persons who shall have acquired such right to exercise by will or by the laws of descent a distribution. No transfer by will or the laws of descent and distribution of any Incentive Award, or the right to exercise any Incentive Award, shall be effe to bind TWPC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 of the Incentive Award that are or would have been applicable to the Participant and to be bound by the acknowledgements made by the Participant in connection with the grant of the Incentive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623570</wp:posOffset>
            </wp:positionV>
            <wp:extent cx="727837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34" w:right="139" w:bottom="1440" w:gutter="0" w:footer="0" w:header="0"/>
        </w:sectPr>
      </w:pPr>
    </w:p>
    <w:bookmarkStart w:id="38" w:name="page39"/>
    <w:bookmarkEnd w:id="38"/>
    <w:p>
      <w:pPr>
        <w:ind w:left="690" w:hanging="690"/>
        <w:spacing w:after="0"/>
        <w:tabs>
          <w:tab w:leader="none" w:pos="69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Expenses and Receipts</w:t>
      </w:r>
    </w:p>
    <w:p>
      <w:pPr>
        <w:spacing w:after="0" w:line="140" w:lineRule="exact"/>
        <w:rPr>
          <w:sz w:val="20"/>
          <w:szCs w:val="20"/>
          <w:color w:val="auto"/>
        </w:rPr>
      </w:pPr>
    </w:p>
    <w:p>
      <w:pPr>
        <w:ind w:left="10" w:right="60" w:firstLine="709"/>
        <w:spacing w:after="0" w:line="235" w:lineRule="auto"/>
        <w:rPr>
          <w:sz w:val="20"/>
          <w:szCs w:val="20"/>
          <w:color w:val="auto"/>
        </w:rPr>
      </w:pPr>
      <w:r>
        <w:rPr>
          <w:rFonts w:ascii="Arial" w:cs="Arial" w:eastAsia="Arial" w:hAnsi="Arial"/>
          <w:sz w:val="17"/>
          <w:szCs w:val="17"/>
          <w:color w:val="auto"/>
        </w:rPr>
        <w:t>The expenses of the Plan shall be paid by TWPC. Any proceeds received by TWPC in connection with any Incentive Award will be used for general corporate purposes.</w:t>
      </w:r>
    </w:p>
    <w:p>
      <w:pPr>
        <w:spacing w:after="0" w:line="138" w:lineRule="exact"/>
        <w:rPr>
          <w:sz w:val="20"/>
          <w:szCs w:val="20"/>
          <w:color w:val="auto"/>
        </w:rPr>
      </w:pPr>
    </w:p>
    <w:p>
      <w:pPr>
        <w:ind w:left="690" w:hanging="690"/>
        <w:spacing w:after="0"/>
        <w:tabs>
          <w:tab w:leader="none" w:pos="69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Governing Law</w:t>
      </w:r>
    </w:p>
    <w:p>
      <w:pPr>
        <w:spacing w:after="0" w:line="140" w:lineRule="exact"/>
        <w:rPr>
          <w:sz w:val="20"/>
          <w:szCs w:val="20"/>
          <w:color w:val="auto"/>
        </w:rPr>
      </w:pPr>
    </w:p>
    <w:p>
      <w:pPr>
        <w:ind w:left="10" w:firstLine="709"/>
        <w:spacing w:after="0" w:line="235" w:lineRule="auto"/>
        <w:rPr>
          <w:sz w:val="20"/>
          <w:szCs w:val="20"/>
          <w:color w:val="auto"/>
        </w:rPr>
      </w:pPr>
      <w:r>
        <w:rPr>
          <w:rFonts w:ascii="Arial" w:cs="Arial" w:eastAsia="Arial" w:hAnsi="Arial"/>
          <w:sz w:val="17"/>
          <w:szCs w:val="17"/>
          <w:color w:val="auto"/>
        </w:rPr>
        <w:t>The Plan and the rights of all persons under the Plan shall be construed and administered in accordance with the laws of the State of New Y without regard to its conflict of law principles.</w:t>
      </w:r>
    </w:p>
    <w:p>
      <w:pPr>
        <w:spacing w:after="0" w:line="138" w:lineRule="exact"/>
        <w:rPr>
          <w:sz w:val="20"/>
          <w:szCs w:val="20"/>
          <w:color w:val="auto"/>
        </w:rPr>
      </w:pPr>
    </w:p>
    <w:p>
      <w:pPr>
        <w:ind w:left="690" w:hanging="690"/>
        <w:spacing w:after="0"/>
        <w:tabs>
          <w:tab w:leader="none" w:pos="69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p>
    <w:p>
      <w:pPr>
        <w:spacing w:after="0" w:line="140" w:lineRule="exact"/>
        <w:rPr>
          <w:sz w:val="20"/>
          <w:szCs w:val="20"/>
          <w:color w:val="auto"/>
        </w:rPr>
      </w:pPr>
    </w:p>
    <w:p>
      <w:pPr>
        <w:ind w:left="10" w:firstLine="709"/>
        <w:spacing w:after="0" w:line="235" w:lineRule="auto"/>
        <w:rPr>
          <w:sz w:val="20"/>
          <w:szCs w:val="20"/>
          <w:color w:val="auto"/>
        </w:rPr>
      </w:pPr>
      <w:r>
        <w:rPr>
          <w:rFonts w:ascii="Arial" w:cs="Arial" w:eastAsia="Arial" w:hAnsi="Arial"/>
          <w:sz w:val="17"/>
          <w:szCs w:val="17"/>
          <w:color w:val="auto"/>
        </w:rPr>
        <w:t>The Plan was adopted by the Board of Directors on February 23, 2012, subject to the approval of the Plan by the shareholders of TWPC. No grants of Incentive Awards may be made under the Plan after February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219710</wp:posOffset>
            </wp:positionV>
            <wp:extent cx="727837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34" w:right="1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EXECUTIVE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Donald E. Graham, Chief Executive Officer (principal executive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763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7637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August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330835</wp:posOffset>
            </wp:positionV>
            <wp:extent cx="727837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FINANCIAL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Hal S. Jones, Senior Vice President-Finance (principal financial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78562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August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330835</wp:posOffset>
            </wp:positionV>
            <wp:extent cx="727837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6" w:right="1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jc w:val="center"/>
        <w:ind w:left="1160"/>
        <w:spacing w:after="0" w:line="228" w:lineRule="auto"/>
        <w:rPr>
          <w:sz w:val="20"/>
          <w:szCs w:val="20"/>
          <w:color w:val="auto"/>
        </w:rPr>
      </w:pPr>
      <w:r>
        <w:rPr>
          <w:rFonts w:ascii="Arial" w:cs="Arial" w:eastAsia="Arial" w:hAnsi="Arial"/>
          <w:sz w:val="17"/>
          <w:szCs w:val="17"/>
          <w:color w:val="auto"/>
        </w:rPr>
        <w:t>OFFICER</w:t>
      </w:r>
    </w:p>
    <w:p>
      <w:pPr>
        <w:jc w:val="center"/>
        <w:ind w:left="1160"/>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40"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In connection with the Quarterly Report of The Washington Post Company (the “Company”) on Form 10-Q for the period ended June 30, 2012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38" w:lineRule="exact"/>
        <w:rPr>
          <w:sz w:val="20"/>
          <w:szCs w:val="20"/>
          <w:color w:val="auto"/>
        </w:rPr>
      </w:pPr>
    </w:p>
    <w:p>
      <w:pPr>
        <w:ind w:left="249" w:hanging="249"/>
        <w:spacing w:after="0"/>
        <w:tabs>
          <w:tab w:leader="none" w:pos="249"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249" w:hanging="249"/>
        <w:spacing w:after="0"/>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82689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August 7, 2012</w:t>
      </w:r>
    </w:p>
    <w:p>
      <w:pPr>
        <w:spacing w:after="0" w:line="326"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7862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August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220980</wp:posOffset>
            </wp:positionV>
            <wp:extent cx="727837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1."/>
      <w:numFmt w:val="lowerLetter"/>
      <w:start w:val="1"/>
    </w:lvl>
  </w:abstractNum>
  <w:abstractNum w:abstractNumId="2">
    <w:nsid w:val="8138641"/>
    <w:multiLevelType w:val="hybridMultilevel"/>
    <w:lvl w:ilvl="0">
      <w:lvlJc w:val="left"/>
      <w:lvlText w:val="(%1)"/>
      <w:numFmt w:val="decimal"/>
      <w:start w:val="68"/>
    </w:lvl>
    <w:lvl w:ilvl="1">
      <w:lvlJc w:val="left"/>
      <w:lvlText w:val="%2"/>
      <w:numFmt w:val="decimal"/>
      <w:start w:val="1"/>
    </w:lvl>
  </w:abstractNum>
  <w:abstractNum w:abstractNumId="3">
    <w:nsid w:val="1E7FF521"/>
    <w:multiLevelType w:val="hybridMultilevel"/>
    <w:lvl w:ilvl="0">
      <w:lvlJc w:val="left"/>
      <w:lvlText w:val="(%1)"/>
      <w:numFmt w:val="decimal"/>
      <w:start w:val="505"/>
    </w:lvl>
    <w:lvl w:ilvl="1">
      <w:lvlJc w:val="left"/>
      <w:lvlText w:val="%2"/>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2"/>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15"/>
    </w:lvl>
  </w:abstractNum>
  <w:abstractNum w:abstractNumId="15">
    <w:nsid w:val="3804823E"/>
    <w:multiLevelType w:val="hybridMultilevel"/>
    <w:lvl w:ilvl="0">
      <w:lvlJc w:val="left"/>
      <w:lvlText w:val="%1"/>
      <w:numFmt w:val="decimal"/>
      <w:start w:val="1"/>
    </w:lvl>
    <w:lvl w:ilvl="1">
      <w:lvlJc w:val="left"/>
      <w:lvlText w:val="(%2)"/>
      <w:numFmt w:val="lowerLetter"/>
      <w:start w:val="27"/>
    </w:lvl>
  </w:abstractNum>
  <w:abstractNum w:abstractNumId="16">
    <w:nsid w:val="77465F01"/>
    <w:multiLevelType w:val="hybridMultilevel"/>
    <w:lvl w:ilvl="0">
      <w:lvlJc w:val="left"/>
      <w:lvlText w:val="%1."/>
      <w:numFmt w:val="decimal"/>
      <w:start w:val="3"/>
    </w:lvl>
    <w:lvl w:ilvl="1">
      <w:lvlJc w:val="left"/>
      <w:lvlText w:val="(%2)"/>
      <w:numFmt w:val="lowerLetter"/>
      <w:start w:val="1"/>
    </w:lvl>
  </w:abstractNum>
  <w:abstractNum w:abstractNumId="17">
    <w:nsid w:val="7724C67E"/>
    <w:multiLevelType w:val="hybridMultilevel"/>
    <w:lvl w:ilvl="0">
      <w:lvlJc w:val="left"/>
      <w:lvlText w:val="(%1)"/>
      <w:numFmt w:val="lowerLetter"/>
      <w:start w:val="2"/>
    </w:lvl>
  </w:abstractNum>
  <w:abstractNum w:abstractNumId="18">
    <w:nsid w:val="5C482A97"/>
    <w:multiLevelType w:val="hybridMultilevel"/>
    <w:lvl w:ilvl="0">
      <w:lvlJc w:val="left"/>
      <w:lvlText w:val="%1."/>
      <w:numFmt w:val="decimal"/>
      <w:start w:val="4"/>
    </w:lvl>
  </w:abstractNum>
  <w:abstractNum w:abstractNumId="19">
    <w:nsid w:val="2463B9EA"/>
    <w:multiLevelType w:val="hybridMultilevel"/>
    <w:lvl w:ilvl="0">
      <w:lvlJc w:val="left"/>
      <w:lvlText w:val="%1."/>
      <w:numFmt w:val="decimal"/>
      <w:start w:val="5"/>
    </w:lvl>
  </w:abstractNum>
  <w:abstractNum w:abstractNumId="20">
    <w:nsid w:val="5E884ADC"/>
    <w:multiLevelType w:val="hybridMultilevel"/>
    <w:lvl w:ilvl="0">
      <w:lvlJc w:val="left"/>
      <w:lvlText w:val="%1."/>
      <w:numFmt w:val="decimal"/>
      <w:start w:val="6"/>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decimal"/>
      <w:start w:val="1"/>
    </w:lvl>
    <w:lvl w:ilvl="1">
      <w:lvlJc w:val="left"/>
      <w:lvlText w:val="(%2)"/>
      <w:numFmt w:val="lowerLetter"/>
      <w:start w:val="2"/>
    </w:lvl>
  </w:abstractNum>
  <w:abstractNum w:abstractNumId="23">
    <w:nsid w:val="580BD78F"/>
    <w:multiLevelType w:val="hybridMultilevel"/>
    <w:lvl w:ilvl="0">
      <w:lvlJc w:val="left"/>
      <w:lvlText w:val="(%1)"/>
      <w:numFmt w:val="decimal"/>
      <w:start w:val="1"/>
    </w:lvl>
    <w:lvl w:ilvl="1">
      <w:lvlJc w:val="left"/>
      <w:lvlText w:val="(%2)"/>
      <w:numFmt w:val="lowerLetter"/>
      <w:start w:val="3"/>
    </w:lvl>
  </w:abstractNum>
  <w:abstractNum w:abstractNumId="24">
    <w:nsid w:val="153EA438"/>
    <w:multiLevelType w:val="hybridMultilevel"/>
    <w:lvl w:ilvl="0">
      <w:lvlJc w:val="left"/>
      <w:lvlText w:val="%1."/>
      <w:numFmt w:val="decimal"/>
      <w:start w:val="7"/>
    </w:lvl>
  </w:abstractNum>
  <w:abstractNum w:abstractNumId="25">
    <w:nsid w:val="3855585C"/>
    <w:multiLevelType w:val="hybridMultilevel"/>
    <w:lvl w:ilvl="0">
      <w:lvlJc w:val="left"/>
      <w:lvlText w:val="%1."/>
      <w:numFmt w:val="decimal"/>
      <w:start w:val="8"/>
    </w:lvl>
  </w:abstractNum>
  <w:abstractNum w:abstractNumId="26">
    <w:nsid w:val="70A64E2A"/>
    <w:multiLevelType w:val="hybridMultilevel"/>
    <w:lvl w:ilvl="0">
      <w:lvlJc w:val="left"/>
      <w:lvlText w:val="%1."/>
      <w:numFmt w:val="decimal"/>
      <w:start w:val="9"/>
    </w:lvl>
    <w:lvl w:ilvl="1">
      <w:lvlJc w:val="left"/>
      <w:lvlText w:val="(%2)"/>
      <w:numFmt w:val="lowerLetter"/>
      <w:start w:val="1"/>
    </w:lvl>
  </w:abstractNum>
  <w:abstractNum w:abstractNumId="27">
    <w:nsid w:val="6A2342EC"/>
    <w:multiLevelType w:val="hybridMultilevel"/>
    <w:lvl w:ilvl="0">
      <w:lvlJc w:val="left"/>
      <w:lvlText w:val="(%1)"/>
      <w:numFmt w:val="lowerLetter"/>
      <w:start w:val="2"/>
    </w:lvl>
  </w:abstractNum>
  <w:abstractNum w:abstractNumId="28">
    <w:nsid w:val="2A487CB0"/>
    <w:multiLevelType w:val="hybridMultilevel"/>
    <w:lvl w:ilvl="0">
      <w:lvlJc w:val="left"/>
      <w:lvlText w:val="(%1)"/>
      <w:numFmt w:val="lowerLetter"/>
      <w:start w:val="3"/>
    </w:lvl>
  </w:abstractNum>
  <w:abstractNum w:abstractNumId="29">
    <w:nsid w:val="1D4ED43B"/>
    <w:multiLevelType w:val="hybridMultilevel"/>
    <w:lvl w:ilvl="0">
      <w:lvlJc w:val="left"/>
      <w:lvlText w:val="(%1)"/>
      <w:numFmt w:val="lowerLetter"/>
      <w:start w:val="4"/>
    </w:lvl>
  </w:abstractNum>
  <w:abstractNum w:abstractNumId="30">
    <w:nsid w:val="725A06FB"/>
    <w:multiLevelType w:val="hybridMultilevel"/>
    <w:lvl w:ilvl="0">
      <w:lvlJc w:val="left"/>
      <w:lvlText w:val="(%1)"/>
      <w:numFmt w:val="lowerLetter"/>
      <w:start w:val="5"/>
    </w:lvl>
  </w:abstractNum>
  <w:abstractNum w:abstractNumId="31">
    <w:nsid w:val="2CD89A32"/>
    <w:multiLevelType w:val="hybridMultilevel"/>
    <w:lvl w:ilvl="0">
      <w:lvlJc w:val="left"/>
      <w:lvlText w:val="(%1)"/>
      <w:numFmt w:val="lowerLetter"/>
      <w:start w:val="6"/>
    </w:lvl>
  </w:abstractNum>
  <w:abstractNum w:abstractNumId="32">
    <w:nsid w:val="57E4CCAF"/>
    <w:multiLevelType w:val="hybridMultilevel"/>
    <w:lvl w:ilvl="0">
      <w:lvlJc w:val="left"/>
      <w:lvlText w:val="%1."/>
      <w:numFmt w:val="decimal"/>
      <w:start w:val="10"/>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2"/>
    </w:lvl>
  </w:abstractNum>
  <w:abstractNum w:abstractNumId="35">
    <w:nsid w:val="542289EC"/>
    <w:multiLevelType w:val="hybridMultilevel"/>
    <w:lvl w:ilvl="0">
      <w:lvlJc w:val="left"/>
      <w:lvlText w:val="(%1)"/>
      <w:numFmt w:val="lowerLetter"/>
      <w:start w:val="3"/>
    </w:lvl>
  </w:abstractNum>
  <w:abstractNum w:abstractNumId="36">
    <w:nsid w:val="6DE91B18"/>
    <w:multiLevelType w:val="hybridMultilevel"/>
    <w:lvl w:ilvl="0">
      <w:lvlJc w:val="left"/>
      <w:lvlText w:val="(%1)"/>
      <w:numFmt w:val="lowerLetter"/>
      <w:start w:val="4"/>
    </w:lvl>
  </w:abstractNum>
  <w:abstractNum w:abstractNumId="37">
    <w:nsid w:val="38437FDB"/>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38">
    <w:nsid w:val="7644A45C"/>
    <w:multiLevelType w:val="hybridMultilevel"/>
    <w:lvl w:ilvl="0">
      <w:lvlJc w:val="left"/>
      <w:lvlText w:val="(%1)"/>
      <w:numFmt w:val="lowerLetter"/>
      <w:start w:val="6"/>
    </w:lvl>
  </w:abstractNum>
  <w:abstractNum w:abstractNumId="39">
    <w:nsid w:val="32FFF902"/>
    <w:multiLevelType w:val="hybridMultilevel"/>
    <w:lvl w:ilvl="0">
      <w:lvlJc w:val="left"/>
      <w:lvlText w:val="(%1)"/>
      <w:numFmt w:val="lowerLetter"/>
      <w:start w:val="5"/>
    </w:lvl>
  </w:abstractNum>
  <w:abstractNum w:abstractNumId="40">
    <w:nsid w:val="684A481A"/>
    <w:multiLevelType w:val="hybridMultilevel"/>
    <w:lvl w:ilvl="0">
      <w:lvlJc w:val="left"/>
      <w:lvlText w:val="(%1)"/>
      <w:numFmt w:val="lowerLetter"/>
      <w:start w:val="7"/>
    </w:lvl>
  </w:abstractNum>
  <w:abstractNum w:abstractNumId="41">
    <w:nsid w:val="579478FE"/>
    <w:multiLevelType w:val="hybridMultilevel"/>
    <w:lvl w:ilvl="0">
      <w:lvlJc w:val="left"/>
      <w:lvlText w:val="(%1)"/>
      <w:numFmt w:val="lowerLetter"/>
      <w:start w:val="8"/>
    </w:lvl>
  </w:abstractNum>
  <w:abstractNum w:abstractNumId="42">
    <w:nsid w:val="749ABB43"/>
    <w:multiLevelType w:val="hybridMultilevel"/>
    <w:lvl w:ilvl="0">
      <w:lvlJc w:val="left"/>
      <w:lvlText w:val="%1."/>
      <w:numFmt w:val="decimal"/>
      <w:start w:val="11"/>
    </w:lvl>
  </w:abstractNum>
  <w:abstractNum w:abstractNumId="43">
    <w:nsid w:val="3DC240FB"/>
    <w:multiLevelType w:val="hybridMultilevel"/>
    <w:lvl w:ilvl="0">
      <w:lvlJc w:val="left"/>
      <w:lvlText w:val="%1."/>
      <w:numFmt w:val="decimal"/>
      <w:start w:val="12"/>
    </w:lvl>
    <w:lvl w:ilvl="1">
      <w:lvlJc w:val="left"/>
      <w:lvlText w:val="(%2)"/>
      <w:numFmt w:val="lowerLetter"/>
      <w:start w:val="1"/>
    </w:lvl>
  </w:abstractNum>
  <w:abstractNum w:abstractNumId="44">
    <w:nsid w:val="1BA026FA"/>
    <w:multiLevelType w:val="hybridMultilevel"/>
    <w:lvl w:ilvl="0">
      <w:lvlJc w:val="left"/>
      <w:lvlText w:val="%1."/>
      <w:numFmt w:val="decimal"/>
      <w:start w:val="14"/>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2"/>
    </w:lvl>
  </w:abstractNum>
  <w:abstractNum w:abstractNumId="47">
    <w:nsid w:val="12E685FB"/>
    <w:multiLevelType w:val="hybridMultilevel"/>
    <w:lvl w:ilvl="0">
      <w:lvlJc w:val="left"/>
      <w:lvlText w:val="(%1)"/>
      <w:numFmt w:val="lowerLetter"/>
      <w:start w:val="3"/>
    </w:lvl>
  </w:abstractNum>
  <w:abstractNum w:abstractNumId="48">
    <w:nsid w:val="70C6A529"/>
    <w:multiLevelType w:val="hybridMultilevel"/>
    <w:lvl w:ilvl="0">
      <w:lvlJc w:val="left"/>
      <w:lvlText w:val="%1."/>
      <w:numFmt w:val="decimal"/>
      <w:start w:val="15"/>
    </w:lvl>
  </w:abstractNum>
  <w:abstractNum w:abstractNumId="49">
    <w:nsid w:val="520EEDD1"/>
    <w:multiLevelType w:val="hybridMultilevel"/>
    <w:lvl w:ilvl="0">
      <w:lvlJc w:val="left"/>
      <w:lvlText w:val="%1."/>
      <w:numFmt w:val="decimal"/>
      <w:start w:val="16"/>
    </w:lvl>
  </w:abstractNum>
  <w:abstractNum w:abstractNumId="50">
    <w:nsid w:val="374A3FE6"/>
    <w:multiLevelType w:val="hybridMultilevel"/>
    <w:lvl w:ilvl="0">
      <w:lvlJc w:val="left"/>
      <w:lvlText w:val="%1."/>
      <w:numFmt w:val="decimal"/>
      <w:start w:val="17"/>
    </w:lvl>
  </w:abstractNum>
  <w:abstractNum w:abstractNumId="51">
    <w:nsid w:val="4F4EF005"/>
    <w:multiLevelType w:val="hybridMultilevel"/>
    <w:lvl w:ilvl="0">
      <w:lvlJc w:val="left"/>
      <w:lvlText w:val="%1."/>
      <w:numFmt w:val="decimal"/>
      <w:start w:val="18"/>
    </w:lvl>
  </w:abstractNum>
  <w:abstractNum w:abstractNumId="52">
    <w:nsid w:val="23F9C13C"/>
    <w:multiLevelType w:val="hybridMultilevel"/>
    <w:lvl w:ilvl="0">
      <w:lvlJc w:val="left"/>
      <w:lvlText w:val="%1."/>
      <w:numFmt w:val="decimal"/>
      <w:start w:val="19"/>
    </w:lvl>
  </w:abstractNum>
  <w:abstractNum w:abstractNumId="53">
    <w:nsid w:val="649BB77C"/>
    <w:multiLevelType w:val="hybridMultilevel"/>
    <w:lvl w:ilvl="0">
      <w:lvlJc w:val="left"/>
      <w:lvlText w:val="%1."/>
      <w:numFmt w:val="decimal"/>
      <w:start w:val="20"/>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2019-12-09T09:20:34Z</dcterms:created>
  <dcterms:modified xsi:type="dcterms:W3CDTF">2019-12-09T09:20:34Z</dcterms:modified>
</cp:coreProperties>
</file>