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158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1582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471"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O'Shaughnessy Laura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Graham Holdings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GHC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GRAHAM HOLDINGS COMPANY</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1300 NORTH 17TH STREET, SUITE 1700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471"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4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4,099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2,700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11/01/2024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25,754</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719.15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44,878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11/01/2024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88"/>
              </w:rPr>
              <w:t>23,858</w:t>
            </w:r>
            <w:r>
              <w:rPr>
                <w:rFonts w:ascii="Times New Roman" w:cs="Times New Roman" w:eastAsia="Times New Roman" w:hAnsi="Times New Roman"/>
                <w:sz w:val="21"/>
                <w:szCs w:val="21"/>
                <w:color w:val="008000"/>
                <w:w w:val="88"/>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843.67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21,020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5,600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5"/>
                <w:szCs w:val="15"/>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4"/>
              </w:rPr>
              <w:t>Class B</w:t>
            </w: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2,700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2,700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color w:val="0000FF"/>
                <w:w w:val="94"/>
              </w:rPr>
              <w:t>Class B</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25,754</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jc w:val="center"/>
              <w:ind w:right="22"/>
              <w:spacing w:after="0" w:line="207" w:lineRule="exact"/>
              <w:rPr>
                <w:sz w:val="20"/>
                <w:szCs w:val="20"/>
                <w:color w:val="auto"/>
              </w:rPr>
            </w:pP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(5)</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719.15</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11/01/2024</w:t>
            </w:r>
          </w:p>
        </w:tc>
        <w:tc>
          <w:tcPr>
            <w:tcW w:w="1140" w:type="dxa"/>
            <w:vAlign w:val="bottom"/>
          </w:tcPr>
          <w:p>
            <w:pPr>
              <w:spacing w:after="0"/>
              <w:rPr>
                <w:sz w:val="6"/>
                <w:szCs w:val="6"/>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6"/>
                <w:szCs w:val="6"/>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25,754</w:t>
            </w:r>
          </w:p>
        </w:tc>
        <w:tc>
          <w:tcPr>
            <w:tcW w:w="780" w:type="dxa"/>
            <w:vAlign w:val="bottom"/>
            <w:gridSpan w:val="2"/>
            <w:vMerge w:val="continue"/>
          </w:tcPr>
          <w:p>
            <w:pPr>
              <w:spacing w:after="0"/>
              <w:rPr>
                <w:sz w:val="6"/>
                <w:szCs w:val="6"/>
                <w:color w:val="auto"/>
              </w:rPr>
            </w:pPr>
          </w:p>
        </w:tc>
        <w:tc>
          <w:tcPr>
            <w:tcW w:w="720" w:type="dxa"/>
            <w:vAlign w:val="bottom"/>
            <w:vMerge w:val="restart"/>
          </w:tcPr>
          <w:p>
            <w:pPr>
              <w:jc w:val="right"/>
              <w:ind w:right="36"/>
              <w:spacing w:after="0" w:line="142" w:lineRule="exact"/>
              <w:rPr>
                <w:sz w:val="20"/>
                <w:szCs w:val="20"/>
                <w:color w:val="auto"/>
              </w:rPr>
            </w:pPr>
            <w:r>
              <w:rPr>
                <w:rFonts w:ascii="Times New Roman" w:cs="Times New Roman" w:eastAsia="Times New Roman" w:hAnsi="Times New Roman"/>
                <w:sz w:val="13"/>
                <w:szCs w:val="13"/>
                <w:color w:val="0000FF"/>
              </w:rPr>
              <w:t>11/03/2024</w:t>
            </w:r>
          </w:p>
        </w:tc>
        <w:tc>
          <w:tcPr>
            <w:tcW w:w="20" w:type="dxa"/>
            <w:vAlign w:val="bottom"/>
          </w:tcPr>
          <w:p>
            <w:pPr>
              <w:spacing w:after="0"/>
              <w:rPr>
                <w:sz w:val="6"/>
                <w:szCs w:val="6"/>
                <w:color w:val="auto"/>
              </w:rPr>
            </w:pP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no voting or investment power with respect to such shares. The reporting person disclaims beneficial ownership of the reported securities.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 was executed in anticipation of the November 3, 2024 expiration date on a net settlement basis.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a trustee of the trust that owns the reported securities. The reporting person is a beneficiary of such trust but has no voting or investment power with respect to the shares held in such trust. The reporting person disclaims beneficial ownership of the reported securities.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are convertible into shares of Class B Common Stock at any time on a one-for-one basis and have no expiration date.</w:t>
      </w:r>
    </w:p>
    <w:p>
      <w:pPr>
        <w:spacing w:after="0" w:line="43"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After this exercise of 25,754 options, the reporting person's spouse has no vested and exercisable options remaining. The reporting person disclaims beneficial ownership of the reported securities.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Maddrey,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11/05/2024</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477"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2024-11-05T15:44:10Z</dcterms:created>
  <dcterms:modified xsi:type="dcterms:W3CDTF">2024-11-05T15:44:10Z</dcterms:modified>
</cp:coreProperties>
</file>