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October 29, 2026</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204"/>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1"/>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311"/>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29"/>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9"/>
                <w:szCs w:val="19"/>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85" w:lineRule="exact"/>
        <w:rPr>
          <w:rFonts w:ascii="MS PGothic" w:cs="MS PGothic" w:eastAsia="MS PGothic" w:hAnsi="MS PGothic"/>
          <w:sz w:val="36"/>
          <w:szCs w:val="36"/>
          <w:color w:val="auto"/>
          <w:vertAlign w:val="superscript"/>
        </w:rPr>
      </w:pPr>
    </w:p>
    <w:p>
      <w:pPr>
        <w:ind w:left="560" w:hanging="534"/>
        <w:spacing w:after="0" w:line="182" w:lineRule="auto"/>
        <w:tabs>
          <w:tab w:leader="none" w:pos="560" w:val="left"/>
        </w:tabs>
        <w:numPr>
          <w:ilvl w:val="0"/>
          <w:numId w:val="1"/>
        </w:numPr>
        <w:rPr>
          <w:rFonts w:ascii="MS PGothic" w:cs="MS PGothic" w:eastAsia="MS PGothic" w:hAnsi="MS PGothic"/>
          <w:sz w:val="27"/>
          <w:szCs w:val="27"/>
          <w:color w:val="auto"/>
          <w:vertAlign w:val="superscript"/>
        </w:rPr>
      </w:pPr>
      <w:r>
        <w:rPr>
          <w:rFonts w:ascii="Arial" w:cs="Arial" w:eastAsia="Arial" w:hAnsi="Arial"/>
          <w:sz w:val="14"/>
          <w:szCs w:val="14"/>
          <w:color w:val="auto"/>
        </w:rPr>
        <w:t>Soliciting material pursuant to Rule 14a-12 under the Exchange Act (17 CFR 240.14a-12)</w:t>
      </w:r>
    </w:p>
    <w:p>
      <w:pPr>
        <w:spacing w:after="0" w:line="186" w:lineRule="exact"/>
        <w:rPr>
          <w:rFonts w:ascii="MS PGothic" w:cs="MS PGothic" w:eastAsia="MS PGothic" w:hAnsi="MS PGothic"/>
          <w:sz w:val="27"/>
          <w:szCs w:val="27"/>
          <w:color w:val="auto"/>
          <w:vertAlign w:val="superscript"/>
        </w:rPr>
      </w:pPr>
    </w:p>
    <w:p>
      <w:pPr>
        <w:ind w:left="560" w:hanging="534"/>
        <w:spacing w:after="0" w:line="182" w:lineRule="auto"/>
        <w:tabs>
          <w:tab w:leader="none" w:pos="560" w:val="left"/>
        </w:tabs>
        <w:numPr>
          <w:ilvl w:val="0"/>
          <w:numId w:val="1"/>
        </w:numPr>
        <w:rPr>
          <w:rFonts w:ascii="MS PGothic" w:cs="MS PGothic" w:eastAsia="MS PGothic" w:hAnsi="MS PGothic"/>
          <w:sz w:val="27"/>
          <w:szCs w:val="27"/>
          <w:color w:val="auto"/>
          <w:vertAlign w:val="superscript"/>
        </w:rPr>
      </w:pPr>
      <w:r>
        <w:rPr>
          <w:rFonts w:ascii="Arial" w:cs="Arial" w:eastAsia="Arial" w:hAnsi="Arial"/>
          <w:sz w:val="14"/>
          <w:szCs w:val="14"/>
          <w:color w:val="auto"/>
        </w:rPr>
        <w:t>Pre-commencement communications pursuant to Rule 14d-2(b) under the Exchange Act (17 CFR 240.14d-2(b))</w:t>
      </w:r>
    </w:p>
    <w:p>
      <w:pPr>
        <w:spacing w:after="0" w:line="186" w:lineRule="exact"/>
        <w:rPr>
          <w:rFonts w:ascii="MS PGothic" w:cs="MS PGothic" w:eastAsia="MS PGothic" w:hAnsi="MS PGothic"/>
          <w:sz w:val="27"/>
          <w:szCs w:val="27"/>
          <w:color w:val="auto"/>
          <w:vertAlign w:val="superscript"/>
        </w:rPr>
      </w:pPr>
    </w:p>
    <w:p>
      <w:pPr>
        <w:ind w:right="2660" w:firstLine="26"/>
        <w:spacing w:after="0" w:line="326" w:lineRule="auto"/>
        <w:tabs>
          <w:tab w:leader="none" w:pos="544"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8"/>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4"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8"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October 29, 2026, Graham Holdings Company issued a press release announcing the Company’s earnings for the third quarter ended September 30, 2026.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79"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October 29, 2026.</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October 29, 2026</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63"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October 29, 2026</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ARLINGTON, VA - Graham Holdings Company (NYSE: GHC) today reported its financial results for the third quarter of 2026. The Company also filed its Form 10-Q today for the quarter ended September 30, 2026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third quarter of 2026 was $1,326.0 million, up 4% from $1,278.9 million in the third quarter of 2025. The Company reported</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operating income of $85.5 million for the third quarter of 2026, compared to $67.1 million for the third quarter of 2025. The Company reported adjusted operating cash flow (non-GAAP) of $121.8 million for the third quarter of 2026, compared to $110.1 million for the third quarter of</w:t>
      </w:r>
    </w:p>
    <w:p>
      <w:pPr>
        <w:spacing w:after="0" w:line="236" w:lineRule="auto"/>
        <w:rPr>
          <w:sz w:val="20"/>
          <w:szCs w:val="20"/>
          <w:color w:val="auto"/>
        </w:rPr>
      </w:pPr>
      <w:r>
        <w:rPr>
          <w:rFonts w:ascii="Arial" w:cs="Arial" w:eastAsia="Arial" w:hAnsi="Arial"/>
          <w:sz w:val="18"/>
          <w:szCs w:val="18"/>
          <w:color w:val="auto"/>
        </w:rPr>
        <w:t>2025. Revenues, operating results and adjusted operating cash flow increased at television broadcasting, healthcare, manufacturing,</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automotive and other businesses, partially offset by a decline at education. Capital expenditures totaled $39.6 million and $20.2 million for the third quarter of 2026 and 2025, respectively.</w:t>
      </w:r>
    </w:p>
    <w:p>
      <w:pPr>
        <w:spacing w:after="0" w:line="1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Revenue for the first nine months of 2026 was $3,864.5 million, up 6% from $3,660.5 million in the first nine months of 2025. The Company reported operating income of $227.0 million for the first nine months of 2026, compared to $187.4 million for the first nine months of</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2025. Revenues and operating results increased at television broadcasting, healthcare, manufacturing, automotive and other businesses, partially offset by a decline at education. The Company reported adjusted operating cash flow (non-GAAP) of $354.5 million for the first nine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months of 2026, compared to $309.5 million for the first nine months of 2025. Adjusted operating cash flow increased at television broadcasting, manufacturing, automotive and other businesses, partially offset by declines at education and healthcare. Capital expenditures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totaled $80.2 million and $54.1 million for the first nine months of 2026 and 2025,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Disposition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2026, Kaplan entered into an agreement to sell Dublin Business School (DBS) to China Chunlai Education Group Co.,</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Ltd., a provider of private higher education in China. At September 30, 2026, the Company classified the assets and liabilities of DBS as held for sale. The transaction closed on October 27, 2026. Under the terms of the Share Purchase Agreement, Kaplan sold all of the outstanding</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shares of Accountancy &amp; Business College (Ireland) Limited, which operates DBS, together with certain intellectual property, for $127.5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2026, the Company had $853.4 million in borrowings outstanding at an average interest rate of 5.8%, including $186.2</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million outstanding on its $400 million revolving credit facility. Cash, marketable equity securities and other investments totaled $1,246.2 million at September 30, 2026, excluding DBS cash classified as held for sale.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recognized $15.0 million in net losses and $17.9 million in net gains on marketable equity securities in the third quarter</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and first nine months of 2026, compared to $84.8 million and $117.0 million in net gains on marketable equity securities in the third quarter and first nine months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During the first nine months of 2026, the Company purchased a total of 176,529 shares of its Class B common stock at a cost of $198.6 million. At September 30, 2026, there were 4,185,665 shares outstanding. On September 12, 2024, the Board of Directors authorized the</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Company to acquire up to 500,000 shares of its Class B common stock; the Company has remaining authorization for 285,953 shares as of September 30,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reported net income attributable to common shares of $75.1 million ($17.60 per share) for the third quarter of 2026, compared to $122.9 million ($27.91 per share) for the third quarter of 2025.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ind w:right="400"/>
        <w:spacing w:after="0" w:line="271" w:lineRule="auto"/>
        <w:rPr>
          <w:sz w:val="20"/>
          <w:szCs w:val="20"/>
          <w:color w:val="auto"/>
        </w:rPr>
      </w:pPr>
      <w:r>
        <w:rPr>
          <w:rFonts w:ascii="Arial" w:cs="Arial" w:eastAsia="Arial" w:hAnsi="Arial"/>
          <w:sz w:val="18"/>
          <w:szCs w:val="18"/>
          <w:color w:val="auto"/>
        </w:rPr>
        <w:t>For the first nine months of 2026, the Company reported net income attributable to common shares of $385.3 million ($88.92 per share), compared to $183.6 million ($41.75 per share) for the first nine months of 2025.</w:t>
      </w:r>
    </w:p>
    <w:p>
      <w:pPr>
        <w:spacing w:after="0" w:line="8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results for the third quarter and first nine months of 2026 and 2025 were affected by a number of items as described in the Non-GAAP Financial Information schedule attached to this release. Excluding these items, net income attributable to common shares was $80.2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($18.77 per share) for the third quarter of 2026, compared to $62.0 million ($ 14.08 per share) for the third quarter of 2025. Excluding these items, net income attributable to common shares was $238.2 million ($54.98 per share) for the first nine months of 2026, compared to $176.1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($40.05 per share) for the first nine months of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2025 Annual Report to Stockholders, are “forward-</w:t>
      </w:r>
    </w:p>
    <w:p>
      <w:pPr>
        <w:ind w:right="20"/>
        <w:spacing w:after="0"/>
        <w:rPr>
          <w:sz w:val="20"/>
          <w:szCs w:val="20"/>
          <w:color w:val="auto"/>
        </w:rPr>
      </w:pPr>
      <w:r>
        <w:rPr>
          <w:rFonts w:ascii="Arial" w:cs="Arial" w:eastAsia="Arial" w:hAnsi="Arial"/>
          <w:sz w:val="17"/>
          <w:szCs w:val="17"/>
          <w:color w:val="auto"/>
        </w:rPr>
        <w:t>looking statements” within the meaning of the Private Securities Litigation Reform Act of 1995. Forward-looking statements are based on expectations, forecasts, and assumptions by the Company’s management and involve a number of risks, uncertainties, and other factors that</w:t>
      </w:r>
    </w:p>
    <w:p>
      <w:pPr>
        <w:spacing w:after="0" w:line="235"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w:t>
      </w:r>
    </w:p>
    <w:p>
      <w:pPr>
        <w:ind w:right="400"/>
        <w:spacing w:after="0" w:line="226"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 various business operations, the Company’s future financial performance, and the risks and uncertainties described in Item 1A of the</w:t>
      </w:r>
    </w:p>
    <w:p>
      <w:pPr>
        <w:spacing w:after="0" w:line="23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w:t>
      </w:r>
    </w:p>
    <w:p>
      <w:pPr>
        <w:spacing w:after="0" w:line="1"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39"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GRAHAM HOLDINGS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1,326,037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1,278,859</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1,216,622</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1,180,498</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18,119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19,298</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5,775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9,692</w:t>
            </w: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4"/>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intangible and other long-lived assets</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85,521</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67,136</w:t>
            </w: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(3,590)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1,594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1,464</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(15,769)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(17,164)</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47,601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31,047</w:t>
            </w: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(15,027)</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84,768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99,143</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183,038</w:t>
            </w: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4"/>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21,900</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56,800</w:t>
            </w: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77,243</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126,238</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(2,133)</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75,110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122,925</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17.79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28.19</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4,198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4,334</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17.60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27.91</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4,243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4,378</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6" w:right="339" w:bottom="1440" w:gutter="0" w:footer="0" w:header="0"/>
        </w:sectPr>
      </w:pPr>
    </w:p>
    <w:bookmarkStart w:id="7" w:name="page8"/>
    <w:bookmarkEnd w:id="7"/>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63"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6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3,864,535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3,660,546</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3,545,916</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3,386,690</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54,794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59,504</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17,808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24,757</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4"/>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other long-lived assets and asset group held for sale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19,029</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226,988</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187,360</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11,397</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10,466</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5,950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6,225</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(49,171)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(117,547)</w:t>
            </w: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248,323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94,266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17,929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117,026</w:t>
            </w: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4"/>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(4,146)</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(20,514)</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457,270</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277,282</w:t>
            </w: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4"/>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66,900</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84,900</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390,370</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192,382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(5,051)</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(8,814)</w:t>
            </w: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385,319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183,568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89.84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42.15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4,264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4,329</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88.92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41.75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4,309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4,370</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0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39"/>
        </w:trPr>
        <w:tc>
          <w:tcPr>
            <w:tcW w:w="4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2025</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35"/>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404,282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472,662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1,262,569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1,334,206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125,304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105,087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346,487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314,625</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260,252</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208,415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717,243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584,375</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147,601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124,257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405,915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318,480</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299,060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285,228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868,036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851,791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89,443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83,215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264,209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257,082</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883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2,278</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1,861</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(788)</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(2,202)</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1,326,037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1,278,859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3,864,535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3,660,546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364,994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423,610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1,140,623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1,198,936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76,845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78,313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233,602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235,513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237,008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187,423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651,963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519,969</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138,603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117,562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381,816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298,739</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289,722</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278,920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845,325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829,698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111,333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108,230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327,423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340,630</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22,799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18,290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58,997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51,575</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(788)</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(2,202)</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1,240,516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1,211,723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3,637,547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3,473,186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39,288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49,052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121,946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135,270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48,459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26,774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112,885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79,112</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23,244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20,992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65,280</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64,406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8,998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6,695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24,099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19,741</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9,338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6,308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22,711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22,093</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(21,890)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(25,015)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(63,214)</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(83,548)</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(21,916)</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(56,719)</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(49,714)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6"/>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85,521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67,136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226,988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187,360</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75"/>
        </w:trPr>
        <w:tc>
          <w:tcPr>
            <w:tcW w:w="464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6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Goodwill, Other Long-Lived Assets and Asset Group</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Held for Sale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19,670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5,222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4,080</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1,330</w:t>
            </w: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3,717</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4,442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11,203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9,304</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570</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3,066</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1,612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6,486</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11,927</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36,837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75"/>
        </w:trPr>
        <w:tc>
          <w:tcPr>
            <w:tcW w:w="464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6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Assets and Impairment of Goodwill, Other Long-Lived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Assets and Asset Group Held for Sale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6"/>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39,372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50,456</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141,616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140,492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49,819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28,134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116,965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83,192</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23,315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22,087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65,537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65,736</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12,715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11,137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35,302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29,045</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9,343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6,868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22,726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22,663</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(21,352)</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(21,949)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(61,602)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(77,062)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(21,916)</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(56,719)</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(49,714)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9"/>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91,296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263,825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214,352</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106" w:right="3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106" w:right="3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7"/>
                <w:szCs w:val="17"/>
                <w:color w:val="auto"/>
              </w:rPr>
            </w:pPr>
          </w:p>
        </w:tc>
      </w:tr>
      <w:tr>
        <w:trPr>
          <w:trHeight w:val="239"/>
        </w:trPr>
        <w:tc>
          <w:tcPr>
            <w:tcW w:w="4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2025</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2025</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36"/>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5,524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7,085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17,237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22,261</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2,271</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2,597</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6,952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7,850</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1,952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1,837</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5,779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5,346</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2,855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3,219</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9,027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8,576</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1,993</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5,775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5,155</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3,354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9,515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9,813</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4"/>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170</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509</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66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18,119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54,794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59,504</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4,555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4,318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13,666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12,954</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1,554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4,661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4,426</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2,365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2,496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5,894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7,488</w:t>
            </w: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1,242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3,727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2,596</w:t>
            </w: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1,889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1,857</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5,614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5,868</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4"/>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740</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2,217</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466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12,379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35,881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35,663</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49,451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61,859</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172,519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175,707</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53,644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32,206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128,578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95,468</w:t>
            </w: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27,632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26,420</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77,210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78,570</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16,812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15,222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48,056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40,217</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11,370</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8,585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28,603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27,865</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(16,109)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(17,421)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(46,473)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(61,381)</w:t>
            </w: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4"/>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(21,006)</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(16,738)</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(53,993)</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(46,927)</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9"/>
        </w:trPr>
        <w:tc>
          <w:tcPr>
            <w:tcW w:w="466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121,794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110,133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354,500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309,519</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right="100" w:hanging="334"/>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Other Long-Lived Assets and Asset Group Held for Sale plus Depreciation Expense and Pension Expense.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1116" w:right="479" w:bottom="1440" w:gutter="0" w:footer="0" w:header="0"/>
        </w:sectPr>
      </w:pPr>
    </w:p>
    <w:bookmarkStart w:id="10" w:name="page11"/>
    <w:bookmarkEnd w:id="10"/>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39"/>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2025</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3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230,134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294,292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754,145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827,719</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93,865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92,162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272,561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265,387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80,805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86,679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237,145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242,243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369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924</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(2,206)</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404,282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472,662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1,262,569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1,334,206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212,842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265,399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672,603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738,827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75,961</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77,479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220,320</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219,925</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71,150</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71,700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211,706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213,890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5,761</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8,417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18,433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22,516</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641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5,222</w:t>
            </w: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goodwill and asset group held for sale</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19,029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(804)</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(2,109)</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364,994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423,610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1,140,623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1,198,936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17,292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28,893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81,542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88,892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17,904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14,683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52,241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45,462</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9,655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14,979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25,439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28,353</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(5,392)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(8,137)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(17,509)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(22,201)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(641)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(5,222)</w:t>
            </w: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goodwill and asset group held for sale</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(19,029)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7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39,288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121,946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135,270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75"/>
        </w:trPr>
        <w:tc>
          <w:tcPr>
            <w:tcW w:w="474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47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Assets and Impairment of Goodwill and Asset Group Held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740" w:type="dxa"/>
            <w:vAlign w:val="bottom"/>
          </w:tcPr>
          <w:p>
            <w:pPr>
              <w:ind w:left="100"/>
              <w:spacing w:after="0"/>
              <w:rPr>
                <w:sz w:val="20"/>
                <w:szCs w:val="20"/>
                <w:color w:val="auto"/>
              </w:rPr>
            </w:pPr>
            <w:r>
              <w:rPr>
                <w:rFonts w:ascii="Arial" w:cs="Arial" w:eastAsia="Arial" w:hAnsi="Arial"/>
                <w:sz w:val="16"/>
                <w:szCs w:val="16"/>
                <w:b w:val="1"/>
                <w:bCs w:val="1"/>
                <w:color w:val="auto"/>
              </w:rPr>
              <w:t>for Sale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17,292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28,893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81,542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88,892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17,904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14,683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52,241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45,462</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9,655</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14,979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25,439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28,353</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(5,392)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(8,137)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(17,509)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(22,201)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7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39,372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50,456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141,616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140,492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4,366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6,072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13,945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19,014</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378</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945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1,153</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769</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2,317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36"/>
        </w:trPr>
        <w:tc>
          <w:tcPr>
            <w:tcW w:w="47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5,524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17,237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22,261</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428</w:t>
            </w: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1,984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5,936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5,546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6,063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5,788</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554</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1,491</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6"/>
        </w:trPr>
        <w:tc>
          <w:tcPr>
            <w:tcW w:w="47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4,555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13,666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12,954</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21,658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35,107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95,663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108,334</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20,266</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16,846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59,122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52,161</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12,441</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33,819</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36,217</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(4,827)</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(7,732)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(15,988)</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(20,991)</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4"/>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7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49,451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61,859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172,519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175,707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9" w:lineRule="exact"/>
        <w:rPr>
          <w:sz w:val="20"/>
          <w:szCs w:val="20"/>
          <w:color w:val="auto"/>
        </w:rPr>
      </w:pPr>
    </w:p>
    <w:p>
      <w:pPr>
        <w:ind w:left="360" w:right="400" w:hanging="336"/>
        <w:spacing w:after="0" w:line="182" w:lineRule="auto"/>
        <w:rPr>
          <w:sz w:val="20"/>
          <w:szCs w:val="20"/>
          <w:color w:val="auto"/>
        </w:rPr>
      </w:pPr>
      <w:r>
        <w:rPr>
          <w:rFonts w:ascii="Times New Roman" w:cs="Times New Roman" w:eastAsia="Times New Roman" w:hAnsi="Times New Roman"/>
          <w:sz w:val="31"/>
          <w:szCs w:val="31"/>
          <w:color w:val="auto"/>
          <w:vertAlign w:val="subscript"/>
        </w:rPr>
        <w:t>(1)</w:t>
      </w:r>
      <w:r>
        <w:rPr>
          <w:rFonts w:ascii="Arial" w:cs="Arial" w:eastAsia="Arial" w:hAnsi="Arial"/>
          <w:sz w:val="12"/>
          <w:szCs w:val="12"/>
          <w:color w:val="auto"/>
        </w:rPr>
        <w:t xml:space="preserve"> Adjusted Operating Cash Flow (non-GAAP) is calculated as Operating Income (Loss) before Amortization of Intangible Assets and Impairment of Goodwill and Asset Group Held for Sale plus Depreciation Expense and Pension Expense.</w:t>
      </w:r>
    </w:p>
    <w:p>
      <w:pPr>
        <w:sectPr>
          <w:pgSz w:w="11900" w:h="16892" w:orient="portrait"/>
          <w:cols w:equalWidth="0" w:num="1">
            <w:col w:w="11240"/>
          </w:cols>
          <w:pgMar w:left="320" w:top="1106" w:right="339" w:bottom="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-more-</w:t>
      </w:r>
    </w:p>
    <w:p>
      <w:pPr>
        <w:sectPr>
          <w:pgSz w:w="11900" w:h="16892" w:orient="portrait"/>
          <w:cols w:equalWidth="0" w:num="1">
            <w:col w:w="11240"/>
          </w:cols>
          <w:pgMar w:left="320" w:top="1106" w:right="339" w:bottom="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88" w:right="1440"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color w:val="auto"/>
        </w:rPr>
        <w:t>GRAHAM HOLDINGS COMPANY</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HEALTHCARE DIVISION INFORMATION</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7"/>
                <w:szCs w:val="17"/>
                <w:color w:val="auto"/>
              </w:rPr>
            </w:pPr>
          </w:p>
        </w:tc>
      </w:tr>
      <w:tr>
        <w:trPr>
          <w:trHeight w:val="239"/>
        </w:trPr>
        <w:tc>
          <w:tcPr>
            <w:tcW w:w="4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jc w:val="right"/>
              <w:ind w:right="220"/>
              <w:spacing w:after="0"/>
              <w:rPr>
                <w:sz w:val="20"/>
                <w:szCs w:val="20"/>
                <w:color w:val="auto"/>
              </w:rPr>
            </w:pPr>
            <w:r>
              <w:rPr>
                <w:rFonts w:ascii="Arial" w:cs="Arial" w:eastAsia="Arial" w:hAnsi="Arial"/>
                <w:sz w:val="14"/>
                <w:szCs w:val="14"/>
                <w:color w:val="auto"/>
              </w:rPr>
              <w:t>%</w:t>
            </w: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2025</w:t>
            </w: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2025</w:t>
            </w:r>
          </w:p>
        </w:tc>
        <w:tc>
          <w:tcPr>
            <w:tcW w:w="860" w:type="dxa"/>
            <w:vAlign w:val="bottom"/>
          </w:tcPr>
          <w:p>
            <w:pPr>
              <w:jc w:val="right"/>
              <w:ind w:right="20"/>
              <w:spacing w:after="0"/>
              <w:rPr>
                <w:sz w:val="20"/>
                <w:szCs w:val="20"/>
                <w:color w:val="auto"/>
              </w:rPr>
            </w:pPr>
            <w:r>
              <w:rPr>
                <w:rFonts w:ascii="Arial" w:cs="Arial" w:eastAsia="Arial" w:hAnsi="Arial"/>
                <w:sz w:val="14"/>
                <w:szCs w:val="14"/>
                <w:color w:val="auto"/>
              </w:rPr>
              <w:t>Change</w:t>
            </w:r>
          </w:p>
        </w:tc>
      </w:tr>
      <w:tr>
        <w:trPr>
          <w:trHeight w:val="236"/>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162,289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120,382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428,593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324,045</w:t>
            </w: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97,963</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288,650</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260,330</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260,252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717,243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584,375</w:t>
            </w: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147,548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106,985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395,042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287,008</w:t>
            </w: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89,460</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80,438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256,921</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232,961</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237,008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187,423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651,963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519,969</w:t>
            </w: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14,741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13,397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33,551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37,037</w:t>
            </w: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8,503</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31,729</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27,369</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23,244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65,280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64,406</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75"/>
        </w:trPr>
        <w:tc>
          <w:tcPr>
            <w:tcW w:w="464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Long-Lived Assets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21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(95)</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195</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36"/>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8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75"/>
        </w:trPr>
        <w:tc>
          <w:tcPr>
            <w:tcW w:w="464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Operating Income before Amortization of Intangible Assets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and Impairment of Long-Lived Assets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14,762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33,613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37,144</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8,553</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31,924</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28,592</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23,315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65,537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65,736</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5"/>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293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887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545</w:t>
            </w: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1,659</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4,892</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4,801</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1,952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5,779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602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602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1,763</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5,292</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7,488</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2,365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5,894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7,488</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4640" w:type="dxa"/>
            <w:vAlign w:val="bottom"/>
          </w:tcPr>
          <w:p>
            <w:pPr>
              <w:ind w:left="14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15,657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13,623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35,102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37,689</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4"/>
        </w:trPr>
        <w:tc>
          <w:tcPr>
            <w:tcW w:w="464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11,975</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42,108</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40,881</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9"/>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27,632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77,210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78,570</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hanging="334"/>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1106"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2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noncontrolling interest are not directly related to the core performance of the Company’s business operations since these items do not directly relate to the sale of the Company’s services or products. GAAP requires that the Company include the gains and losses on</w:t>
      </w:r>
    </w:p>
    <w:p>
      <w:pPr>
        <w:spacing w:after="0" w:line="235" w:lineRule="auto"/>
        <w:rPr>
          <w:sz w:val="20"/>
          <w:szCs w:val="20"/>
          <w:color w:val="auto"/>
        </w:rPr>
      </w:pPr>
      <w:r>
        <w:rPr>
          <w:rFonts w:ascii="Arial" w:cs="Arial" w:eastAsia="Arial" w:hAnsi="Arial"/>
          <w:sz w:val="18"/>
          <w:szCs w:val="18"/>
          <w:color w:val="auto"/>
        </w:rPr>
        <w:t>marketable equity securities and net interest expense related to fair value adjustments of the mandatorily redeemable noncontrolling interest</w:t>
      </w:r>
    </w:p>
    <w:p>
      <w:pPr>
        <w:spacing w:after="0" w:line="226" w:lineRule="auto"/>
        <w:rPr>
          <w:sz w:val="20"/>
          <w:szCs w:val="20"/>
          <w:color w:val="auto"/>
        </w:rPr>
      </w:pPr>
      <w:r>
        <w:rPr>
          <w:rFonts w:ascii="Arial" w:cs="Arial" w:eastAsia="Arial" w:hAnsi="Arial"/>
          <w:sz w:val="18"/>
          <w:szCs w:val="18"/>
          <w:color w:val="auto"/>
        </w:rPr>
        <w:t>in net income on the Condensed Consolidated Statements of Operations. The Company excludes the gains and losses on marketable equity securities and net interest expense related to fair value adjustments of the mandatorily redeemable noncontrolling interest from the non-</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GAAP adjusted net income because these items are independent of the Company’s core operations and not indicative of the performance of the Company’s business operations.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03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44"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29210</wp:posOffset>
            </wp:positionV>
            <wp:extent cx="4020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color w:val="auto"/>
              </w:rPr>
              <w:t>2025</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7"/>
                <w:szCs w:val="1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7"/>
                <w:szCs w:val="17"/>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line="162"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9"/>
                <w:szCs w:val="9"/>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99,143</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21,900</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77,243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183,038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56,800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126,238</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(2,133)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25"/>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75,110</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122,925</w:t>
            </w:r>
          </w:p>
        </w:tc>
        <w:tc>
          <w:tcPr>
            <w:tcW w:w="0" w:type="dxa"/>
            <w:vAlign w:val="bottom"/>
          </w:tcPr>
          <w:p>
            <w:pPr>
              <w:spacing w:after="0"/>
              <w:rPr>
                <w:sz w:val="1"/>
                <w:szCs w:val="1"/>
                <w:color w:val="auto"/>
              </w:rPr>
            </w:pPr>
          </w:p>
        </w:tc>
      </w:tr>
      <w:tr>
        <w:trPr>
          <w:trHeight w:val="222"/>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40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0"/>
                <w:szCs w:val="20"/>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2,235</w:t>
            </w:r>
          </w:p>
        </w:tc>
        <w:tc>
          <w:tcPr>
            <w:tcW w:w="240" w:type="dxa"/>
            <w:vAlign w:val="bottom"/>
          </w:tcPr>
          <w:p>
            <w:pPr>
              <w:spacing w:after="0"/>
              <w:rPr>
                <w:sz w:val="20"/>
                <w:szCs w:val="20"/>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522</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1,713</w:t>
            </w:r>
          </w:p>
        </w:tc>
        <w:tc>
          <w:tcPr>
            <w:tcW w:w="0" w:type="dxa"/>
            <w:vAlign w:val="bottom"/>
          </w:tcPr>
          <w:p>
            <w:pPr>
              <w:spacing w:after="0"/>
              <w:rPr>
                <w:sz w:val="1"/>
                <w:szCs w:val="1"/>
                <w:color w:val="auto"/>
              </w:rPr>
            </w:pPr>
          </w:p>
        </w:tc>
      </w:tr>
      <w:tr>
        <w:trPr>
          <w:trHeight w:val="229"/>
        </w:trPr>
        <w:tc>
          <w:tcPr>
            <w:tcW w:w="490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(14,950)</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(3,889)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(11,061)</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3,201</w:t>
            </w:r>
          </w:p>
        </w:tc>
        <w:tc>
          <w:tcPr>
            <w:tcW w:w="200" w:type="dxa"/>
            <w:vAlign w:val="bottom"/>
          </w:tcPr>
          <w:p>
            <w:pPr>
              <w:spacing w:after="0"/>
              <w:rPr>
                <w:sz w:val="17"/>
                <w:szCs w:val="17"/>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833</w:t>
            </w: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2,368</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and a Voluntary Retirement Incentive Program</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2,546</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651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1,895</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Interest (credit) expense related to the fair value adjustment of the</w:t>
            </w:r>
          </w:p>
        </w:tc>
        <w:tc>
          <w:tcPr>
            <w:tcW w:w="160" w:type="dxa"/>
            <w:vAlign w:val="bottom"/>
          </w:tcPr>
          <w:p>
            <w:pPr>
              <w:spacing w:after="0"/>
              <w:rPr>
                <w:sz w:val="17"/>
                <w:szCs w:val="17"/>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(125)</w:t>
            </w:r>
          </w:p>
        </w:tc>
        <w:tc>
          <w:tcPr>
            <w:tcW w:w="200" w:type="dxa"/>
            <w:vAlign w:val="bottom"/>
          </w:tcPr>
          <w:p>
            <w:pPr>
              <w:spacing w:after="0"/>
              <w:rPr>
                <w:sz w:val="17"/>
                <w:szCs w:val="17"/>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2</w:t>
            </w: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(127)</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718</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(6,198)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6,916</w:t>
            </w:r>
          </w:p>
        </w:tc>
        <w:tc>
          <w:tcPr>
            <w:tcW w:w="0" w:type="dxa"/>
            <w:vAlign w:val="bottom"/>
          </w:tcPr>
          <w:p>
            <w:pPr>
              <w:spacing w:after="0"/>
              <w:rPr>
                <w:sz w:val="1"/>
                <w:szCs w:val="1"/>
                <w:color w:val="auto"/>
              </w:rPr>
            </w:pPr>
          </w:p>
        </w:tc>
      </w:tr>
      <w:tr>
        <w:trPr>
          <w:trHeight w:val="229"/>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15,027</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3,838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11,189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(84,768)</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(21,735)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(63,033)</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7"/>
                <w:szCs w:val="17"/>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6,290</w:t>
            </w:r>
          </w:p>
        </w:tc>
        <w:tc>
          <w:tcPr>
            <w:tcW w:w="200" w:type="dxa"/>
            <w:vAlign w:val="bottom"/>
          </w:tcPr>
          <w:p>
            <w:pPr>
              <w:spacing w:after="0"/>
              <w:rPr>
                <w:sz w:val="17"/>
                <w:szCs w:val="17"/>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1,607</w:t>
            </w: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4,683</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5,787</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1,484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4,303</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(gain) from impairment and earnings of equity</w:t>
            </w:r>
          </w:p>
        </w:tc>
        <w:tc>
          <w:tcPr>
            <w:tcW w:w="160" w:type="dxa"/>
            <w:vAlign w:val="bottom"/>
          </w:tcPr>
          <w:p>
            <w:pPr>
              <w:spacing w:after="0"/>
              <w:rPr>
                <w:sz w:val="17"/>
                <w:szCs w:val="17"/>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600</w:t>
            </w:r>
          </w:p>
        </w:tc>
        <w:tc>
          <w:tcPr>
            <w:tcW w:w="200" w:type="dxa"/>
            <w:vAlign w:val="bottom"/>
          </w:tcPr>
          <w:p>
            <w:pPr>
              <w:spacing w:after="0"/>
              <w:rPr>
                <w:sz w:val="17"/>
                <w:szCs w:val="17"/>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153</w:t>
            </w: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447</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and cost method investments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(17,122)</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(4,395)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(12,727)</w:t>
            </w:r>
          </w:p>
        </w:tc>
        <w:tc>
          <w:tcPr>
            <w:tcW w:w="0" w:type="dxa"/>
            <w:vAlign w:val="bottom"/>
          </w:tcPr>
          <w:p>
            <w:pPr>
              <w:spacing w:after="0"/>
              <w:rPr>
                <w:sz w:val="1"/>
                <w:szCs w:val="1"/>
                <w:color w:val="auto"/>
              </w:rPr>
            </w:pPr>
          </w:p>
        </w:tc>
      </w:tr>
      <w:tr>
        <w:trPr>
          <w:trHeight w:val="230"/>
        </w:trPr>
        <w:tc>
          <w:tcPr>
            <w:tcW w:w="4900" w:type="dxa"/>
            <w:vAlign w:val="bottom"/>
          </w:tcPr>
          <w:p>
            <w:pPr>
              <w:ind w:left="400"/>
              <w:spacing w:after="0"/>
              <w:rPr>
                <w:sz w:val="20"/>
                <w:szCs w:val="20"/>
                <w:color w:val="auto"/>
              </w:rPr>
            </w:pPr>
            <w:r>
              <w:rPr>
                <w:rFonts w:ascii="Arial" w:cs="Arial" w:eastAsia="Arial" w:hAnsi="Arial"/>
                <w:sz w:val="15"/>
                <w:szCs w:val="15"/>
                <w:color w:val="auto"/>
              </w:rPr>
              <w:t>Income tax expense related to the KLG business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(1,465)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1,465</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4900" w:type="dxa"/>
            <w:vAlign w:val="bottom"/>
          </w:tcPr>
          <w:p>
            <w:pPr>
              <w:ind w:left="400"/>
              <w:spacing w:after="0"/>
              <w:rPr>
                <w:sz w:val="20"/>
                <w:szCs w:val="20"/>
                <w:color w:val="auto"/>
              </w:rPr>
            </w:pPr>
            <w:r>
              <w:rPr>
                <w:rFonts w:ascii="Arial" w:cs="Arial" w:eastAsia="Arial" w:hAnsi="Arial"/>
                <w:sz w:val="15"/>
                <w:szCs w:val="15"/>
                <w:color w:val="auto"/>
              </w:rPr>
              <w:t>Non-U.S. global minimum corporate income tax benefit</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3,908</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(3,908)</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80,166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61,992</w:t>
            </w:r>
          </w:p>
        </w:tc>
        <w:tc>
          <w:tcPr>
            <w:tcW w:w="0" w:type="dxa"/>
            <w:vAlign w:val="bottom"/>
          </w:tcPr>
          <w:p>
            <w:pPr>
              <w:spacing w:after="0"/>
              <w:rPr>
                <w:sz w:val="1"/>
                <w:szCs w:val="1"/>
                <w:color w:val="auto"/>
              </w:rPr>
            </w:pPr>
          </w:p>
        </w:tc>
      </w:tr>
      <w:tr>
        <w:trPr>
          <w:trHeight w:val="325"/>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17.60</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27.91</w:t>
            </w: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40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230"/>
        </w:trPr>
        <w:tc>
          <w:tcPr>
            <w:tcW w:w="490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(2.59)</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0.55</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and a Voluntary Retirement Incentive Program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Interest (credit) expense related to the fair value adjustment of the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(0.03)</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30"/>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2.62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(14.31)</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0.98</w:t>
            </w:r>
          </w:p>
        </w:tc>
        <w:tc>
          <w:tcPr>
            <w:tcW w:w="0" w:type="dxa"/>
            <w:vAlign w:val="bottom"/>
          </w:tcPr>
          <w:p>
            <w:pPr>
              <w:spacing w:after="0"/>
              <w:rPr>
                <w:sz w:val="1"/>
                <w:szCs w:val="1"/>
                <w:color w:val="auto"/>
              </w:rPr>
            </w:pPr>
          </w:p>
        </w:tc>
      </w:tr>
      <w:tr>
        <w:trPr>
          <w:trHeight w:val="197"/>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(gain) from impairment and earnings of equity</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0.10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and cost method investments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r>
        <w:trPr>
          <w:trHeight w:val="230"/>
        </w:trPr>
        <w:tc>
          <w:tcPr>
            <w:tcW w:w="4900" w:type="dxa"/>
            <w:vAlign w:val="bottom"/>
          </w:tcPr>
          <w:p>
            <w:pPr>
              <w:ind w:left="400"/>
              <w:spacing w:after="0"/>
              <w:rPr>
                <w:sz w:val="20"/>
                <w:szCs w:val="20"/>
                <w:color w:val="auto"/>
              </w:rPr>
            </w:pPr>
            <w:r>
              <w:rPr>
                <w:rFonts w:ascii="Arial" w:cs="Arial" w:eastAsia="Arial" w:hAnsi="Arial"/>
                <w:sz w:val="15"/>
                <w:szCs w:val="15"/>
                <w:color w:val="auto"/>
              </w:rPr>
              <w:t>Income tax expense related to the KLG business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0.34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4900" w:type="dxa"/>
            <w:vAlign w:val="bottom"/>
          </w:tcPr>
          <w:p>
            <w:pPr>
              <w:ind w:left="400"/>
              <w:spacing w:after="0"/>
              <w:rPr>
                <w:sz w:val="20"/>
                <w:szCs w:val="20"/>
                <w:color w:val="auto"/>
              </w:rPr>
            </w:pPr>
            <w:r>
              <w:rPr>
                <w:rFonts w:ascii="Arial" w:cs="Arial" w:eastAsia="Arial" w:hAnsi="Arial"/>
                <w:sz w:val="15"/>
                <w:szCs w:val="15"/>
                <w:color w:val="auto"/>
              </w:rPr>
              <w:t>Non-U.S. global minimum corporate income tax benefit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18.77</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14.08</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39" w:right="339" w:bottom="1440" w:gutter="0" w:footer="0" w:header="0"/>
        </w:sectPr>
      </w:pPr>
    </w:p>
    <w:bookmarkStart w:id="15" w:name="page16"/>
    <w:bookmarkEnd w:id="15"/>
    <w:p>
      <w:pPr>
        <w:ind w:left="67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29210</wp:posOffset>
            </wp:positionV>
            <wp:extent cx="40119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7"/>
        </w:trPr>
        <w:tc>
          <w:tcPr>
            <w:tcW w:w="4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8"/>
                <w:szCs w:val="8"/>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88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10"/>
                <w:szCs w:val="10"/>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457,270</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66,900</w:t>
            </w: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390,370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277,282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84,900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192,382</w:t>
            </w:r>
          </w:p>
        </w:tc>
        <w:tc>
          <w:tcPr>
            <w:tcW w:w="0" w:type="dxa"/>
            <w:vAlign w:val="bottom"/>
          </w:tcPr>
          <w:p>
            <w:pPr>
              <w:spacing w:after="0"/>
              <w:rPr>
                <w:sz w:val="1"/>
                <w:szCs w:val="1"/>
                <w:color w:val="auto"/>
              </w:rPr>
            </w:pPr>
          </w:p>
        </w:tc>
      </w:tr>
      <w:tr>
        <w:trPr>
          <w:trHeight w:val="228"/>
        </w:trPr>
        <w:tc>
          <w:tcPr>
            <w:tcW w:w="488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(5,051)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(8,814)</w:t>
            </w: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385,319</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183,568</w:t>
            </w:r>
          </w:p>
        </w:tc>
        <w:tc>
          <w:tcPr>
            <w:tcW w:w="0" w:type="dxa"/>
            <w:vAlign w:val="bottom"/>
          </w:tcPr>
          <w:p>
            <w:pPr>
              <w:spacing w:after="0"/>
              <w:rPr>
                <w:sz w:val="1"/>
                <w:szCs w:val="1"/>
                <w:color w:val="auto"/>
              </w:rPr>
            </w:pPr>
          </w:p>
        </w:tc>
      </w:tr>
      <w:tr>
        <w:trPr>
          <w:trHeight w:val="204"/>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40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20"/>
                <w:szCs w:val="20"/>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0"/>
                <w:szCs w:val="20"/>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2,235</w:t>
            </w:r>
          </w:p>
        </w:tc>
        <w:tc>
          <w:tcPr>
            <w:tcW w:w="240" w:type="dxa"/>
            <w:vAlign w:val="bottom"/>
          </w:tcPr>
          <w:p>
            <w:pPr>
              <w:spacing w:after="0"/>
              <w:rPr>
                <w:sz w:val="20"/>
                <w:szCs w:val="20"/>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522</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1,713</w:t>
            </w:r>
          </w:p>
        </w:tc>
        <w:tc>
          <w:tcPr>
            <w:tcW w:w="0" w:type="dxa"/>
            <w:vAlign w:val="bottom"/>
          </w:tcPr>
          <w:p>
            <w:pPr>
              <w:spacing w:after="0"/>
              <w:rPr>
                <w:sz w:val="1"/>
                <w:szCs w:val="1"/>
                <w:color w:val="auto"/>
              </w:rPr>
            </w:pPr>
          </w:p>
        </w:tc>
      </w:tr>
      <w:tr>
        <w:trPr>
          <w:trHeight w:val="230"/>
        </w:trPr>
        <w:tc>
          <w:tcPr>
            <w:tcW w:w="4880" w:type="dxa"/>
            <w:vAlign w:val="bottom"/>
          </w:tcPr>
          <w:p>
            <w:pPr>
              <w:ind w:left="400"/>
              <w:spacing w:after="0"/>
              <w:rPr>
                <w:sz w:val="20"/>
                <w:szCs w:val="20"/>
                <w:color w:val="auto"/>
              </w:rPr>
            </w:pPr>
            <w:r>
              <w:rPr>
                <w:rFonts w:ascii="Arial" w:cs="Arial" w:eastAsia="Arial" w:hAnsi="Arial"/>
                <w:sz w:val="15"/>
                <w:szCs w:val="15"/>
                <w:color w:val="auto"/>
              </w:rPr>
              <w:t>Impairment charge and loss on sale related to KLG</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24,179</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(594)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24,773</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488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(151,905)</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(39,514)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(112,391)</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11,138</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2,897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8,241</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9,185</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2,351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6,834</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Interest (credit) expense related to the fair value adjustment of the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(1,007)</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(122)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(885)</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68,278</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7,496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60,782</w:t>
            </w:r>
          </w:p>
        </w:tc>
        <w:tc>
          <w:tcPr>
            <w:tcW w:w="0" w:type="dxa"/>
            <w:vAlign w:val="bottom"/>
          </w:tcPr>
          <w:p>
            <w:pPr>
              <w:spacing w:after="0"/>
              <w:rPr>
                <w:sz w:val="1"/>
                <w:szCs w:val="1"/>
                <w:color w:val="auto"/>
              </w:rPr>
            </w:pPr>
          </w:p>
        </w:tc>
      </w:tr>
      <w:tr>
        <w:trPr>
          <w:trHeight w:val="229"/>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(17,929)</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(4,580)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(13,349)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(117,026)</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(30,006)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(87,020)</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Net (earnings) losses of affiliates whose operations are not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(6,772)</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(1,730)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(5,042)</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18,110</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4,643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13,467</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Net non-operating loss (gain) from impairment, sale and earnings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of equity and cost method investments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5,916</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1,511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4,405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(4,443)</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(1,189)</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(3,254)</w:t>
            </w:r>
          </w:p>
        </w:tc>
        <w:tc>
          <w:tcPr>
            <w:tcW w:w="0" w:type="dxa"/>
            <w:vAlign w:val="bottom"/>
          </w:tcPr>
          <w:p>
            <w:pPr>
              <w:spacing w:after="0"/>
              <w:rPr>
                <w:sz w:val="1"/>
                <w:szCs w:val="1"/>
                <w:color w:val="auto"/>
              </w:rPr>
            </w:pPr>
          </w:p>
        </w:tc>
      </w:tr>
      <w:tr>
        <w:trPr>
          <w:trHeight w:val="230"/>
        </w:trPr>
        <w:tc>
          <w:tcPr>
            <w:tcW w:w="4880" w:type="dxa"/>
            <w:vAlign w:val="bottom"/>
          </w:tcPr>
          <w:p>
            <w:pPr>
              <w:ind w:left="400"/>
              <w:spacing w:after="0"/>
              <w:rPr>
                <w:sz w:val="20"/>
                <w:szCs w:val="20"/>
                <w:color w:val="auto"/>
              </w:rPr>
            </w:pPr>
            <w:r>
              <w:rPr>
                <w:rFonts w:ascii="Arial" w:cs="Arial" w:eastAsia="Arial" w:hAnsi="Arial"/>
                <w:sz w:val="15"/>
                <w:szCs w:val="15"/>
                <w:color w:val="auto"/>
              </w:rPr>
              <w:t>Income tax benefit related to the KLG business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68,099</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(68,099)</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4880" w:type="dxa"/>
            <w:vAlign w:val="bottom"/>
          </w:tcPr>
          <w:p>
            <w:pPr>
              <w:ind w:left="400"/>
              <w:spacing w:after="0"/>
              <w:rPr>
                <w:sz w:val="20"/>
                <w:szCs w:val="20"/>
                <w:color w:val="auto"/>
              </w:rPr>
            </w:pPr>
            <w:r>
              <w:rPr>
                <w:rFonts w:ascii="Arial" w:cs="Arial" w:eastAsia="Arial" w:hAnsi="Arial"/>
                <w:sz w:val="15"/>
                <w:szCs w:val="15"/>
                <w:color w:val="auto"/>
              </w:rPr>
              <w:t>Non-U.S. global minimum corporate income tax expense</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(15,272)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15,272</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238,244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176,090</w:t>
            </w:r>
          </w:p>
        </w:tc>
        <w:tc>
          <w:tcPr>
            <w:tcW w:w="0" w:type="dxa"/>
            <w:vAlign w:val="bottom"/>
          </w:tcPr>
          <w:p>
            <w:pPr>
              <w:spacing w:after="0"/>
              <w:rPr>
                <w:sz w:val="1"/>
                <w:szCs w:val="1"/>
                <w:color w:val="auto"/>
              </w:rPr>
            </w:pPr>
          </w:p>
        </w:tc>
      </w:tr>
      <w:tr>
        <w:trPr>
          <w:trHeight w:val="312"/>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88.92</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41.75</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400"/>
              <w:spacing w:after="0"/>
              <w:rPr>
                <w:sz w:val="20"/>
                <w:szCs w:val="20"/>
                <w:color w:val="auto"/>
              </w:rPr>
            </w:pPr>
            <w:r>
              <w:rPr>
                <w:rFonts w:ascii="Arial" w:cs="Arial" w:eastAsia="Arial" w:hAnsi="Arial"/>
                <w:sz w:val="15"/>
                <w:szCs w:val="15"/>
                <w:color w:val="auto"/>
              </w:rPr>
              <w:t>Intangible and other long-lived asset impairment charges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230"/>
        </w:trPr>
        <w:tc>
          <w:tcPr>
            <w:tcW w:w="4880" w:type="dxa"/>
            <w:vAlign w:val="bottom"/>
          </w:tcPr>
          <w:p>
            <w:pPr>
              <w:ind w:left="400"/>
              <w:spacing w:after="0"/>
              <w:rPr>
                <w:sz w:val="20"/>
                <w:szCs w:val="20"/>
                <w:color w:val="auto"/>
              </w:rPr>
            </w:pPr>
            <w:r>
              <w:rPr>
                <w:rFonts w:ascii="Arial" w:cs="Arial" w:eastAsia="Arial" w:hAnsi="Arial"/>
                <w:sz w:val="15"/>
                <w:szCs w:val="15"/>
                <w:color w:val="auto"/>
              </w:rPr>
              <w:t>Impairment charge and loss on sale related to KLG</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5.72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488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(25.94)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1.90</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Interest (credit) expense related to the fair value adjustment of the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(0.20)</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13.83</w:t>
            </w:r>
          </w:p>
        </w:tc>
        <w:tc>
          <w:tcPr>
            <w:tcW w:w="0" w:type="dxa"/>
            <w:vAlign w:val="bottom"/>
          </w:tcPr>
          <w:p>
            <w:pPr>
              <w:spacing w:after="0"/>
              <w:rPr>
                <w:sz w:val="1"/>
                <w:szCs w:val="1"/>
                <w:color w:val="auto"/>
              </w:rPr>
            </w:pPr>
          </w:p>
        </w:tc>
      </w:tr>
      <w:tr>
        <w:trPr>
          <w:trHeight w:val="230"/>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(3.08)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(19.79)</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Net (earnings) losses of affiliates whose operations are not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Net non-operating loss (gain) from impairment, sale and earnings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of equity and cost method investments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1.02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(0.74)</w:t>
            </w:r>
          </w:p>
        </w:tc>
        <w:tc>
          <w:tcPr>
            <w:tcW w:w="0" w:type="dxa"/>
            <w:vAlign w:val="bottom"/>
          </w:tcPr>
          <w:p>
            <w:pPr>
              <w:spacing w:after="0"/>
              <w:rPr>
                <w:sz w:val="1"/>
                <w:szCs w:val="1"/>
                <w:color w:val="auto"/>
              </w:rPr>
            </w:pPr>
          </w:p>
        </w:tc>
      </w:tr>
      <w:tr>
        <w:trPr>
          <w:trHeight w:val="230"/>
        </w:trPr>
        <w:tc>
          <w:tcPr>
            <w:tcW w:w="4880" w:type="dxa"/>
            <w:vAlign w:val="bottom"/>
          </w:tcPr>
          <w:p>
            <w:pPr>
              <w:ind w:left="400"/>
              <w:spacing w:after="0"/>
              <w:rPr>
                <w:sz w:val="20"/>
                <w:szCs w:val="20"/>
                <w:color w:val="auto"/>
              </w:rPr>
            </w:pPr>
            <w:r>
              <w:rPr>
                <w:rFonts w:ascii="Arial" w:cs="Arial" w:eastAsia="Arial" w:hAnsi="Arial"/>
                <w:sz w:val="15"/>
                <w:szCs w:val="15"/>
                <w:color w:val="auto"/>
              </w:rPr>
              <w:t>Income tax benefit related to the KLG business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(15.72)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4880" w:type="dxa"/>
            <w:vAlign w:val="bottom"/>
          </w:tcPr>
          <w:p>
            <w:pPr>
              <w:ind w:left="400"/>
              <w:spacing w:after="0"/>
              <w:rPr>
                <w:sz w:val="20"/>
                <w:szCs w:val="20"/>
                <w:color w:val="auto"/>
              </w:rPr>
            </w:pPr>
            <w:r>
              <w:rPr>
                <w:rFonts w:ascii="Arial" w:cs="Arial" w:eastAsia="Arial" w:hAnsi="Arial"/>
                <w:sz w:val="15"/>
                <w:szCs w:val="15"/>
                <w:color w:val="auto"/>
              </w:rPr>
              <w:t>Non-U.S. global minimum corporate income tax expense</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54.98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200"/>
      </w:cols>
      <w:pgMar w:left="320" w:top="1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2026-10-29T07:32:28Z</dcterms:created>
  <dcterms:modified xsi:type="dcterms:W3CDTF">2026-10-29T07:32:28Z</dcterms:modified>
</cp:coreProperties>
</file>