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ind w:left="11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Washington, D.C. 20549</w:t>
      </w:r>
    </w:p>
    <w:p>
      <w:pPr>
        <w:spacing w:after="0" w:line="194" w:lineRule="exact"/>
        <w:rPr>
          <w:sz w:val="24"/>
          <w:szCs w:val="24"/>
          <w:color w:val="auto"/>
        </w:rPr>
      </w:pPr>
    </w:p>
    <w:p>
      <w:pPr>
        <w:ind w:left="3900"/>
        <w:spacing w:after="0"/>
        <w:rPr>
          <w:sz w:val="20"/>
          <w:szCs w:val="20"/>
          <w:color w:val="auto"/>
        </w:rPr>
      </w:pPr>
      <w:r>
        <w:rPr>
          <w:rFonts w:ascii="Arial" w:cs="Arial" w:eastAsia="Arial" w:hAnsi="Arial"/>
          <w:sz w:val="24"/>
          <w:szCs w:val="24"/>
          <w:b w:val="1"/>
          <w:bCs w:val="1"/>
          <w:color w:val="auto"/>
        </w:rPr>
        <w:t>SCHEDULE 14A INFORMATION</w:t>
      </w:r>
    </w:p>
    <w:p>
      <w:pPr>
        <w:spacing w:after="0" w:line="235"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18"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4"/>
          <w:szCs w:val="24"/>
          <w:color w:val="auto"/>
        </w:rPr>
      </w:pPr>
    </w:p>
    <w:p>
      <w:pPr>
        <w:spacing w:after="0" w:line="276" w:lineRule="exact"/>
        <w:rPr>
          <w:sz w:val="24"/>
          <w:szCs w:val="24"/>
          <w:color w:val="auto"/>
        </w:rPr>
      </w:pPr>
    </w:p>
    <w:p>
      <w:pPr>
        <w:spacing w:after="0"/>
        <w:tabs>
          <w:tab w:leader="none" w:pos="238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2"/>
          <w:szCs w:val="12"/>
          <w:color w:val="auto"/>
        </w:rPr>
        <w:t>Filed by a Party other than the Registrant</w:t>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Preliminary Proxy Statement</w:t>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Confidential, for Use of the Commission Only (as permitted by Rule 14a-6(e)(2))</w:t>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x Definitive Proxy Statement</w:t>
      </w:r>
    </w:p>
    <w:p>
      <w:pPr>
        <w:spacing w:after="0" w:line="1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Definitive Additional Materials</w:t>
      </w:r>
    </w:p>
    <w:p>
      <w:pPr>
        <w:spacing w:after="0" w:line="1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354" w:lineRule="exact"/>
        <w:rPr>
          <w:sz w:val="24"/>
          <w:szCs w:val="24"/>
          <w:color w:val="auto"/>
        </w:rPr>
      </w:pPr>
    </w:p>
    <w:p>
      <w:pPr>
        <w:jc w:val="center"/>
        <w:ind w:left="1160"/>
        <w:spacing w:after="0"/>
        <w:rPr>
          <w:sz w:val="20"/>
          <w:szCs w:val="20"/>
          <w:color w:val="auto"/>
        </w:rPr>
      </w:pPr>
      <w:r>
        <w:rPr>
          <w:rFonts w:ascii="Arial" w:cs="Arial" w:eastAsia="Arial" w:hAnsi="Arial"/>
          <w:sz w:val="26"/>
          <w:szCs w:val="26"/>
          <w:b w:val="1"/>
          <w:bCs w:val="1"/>
          <w:color w:val="auto"/>
        </w:rPr>
        <w:t>THE WASHINGTON POST COMPANY</w:t>
      </w:r>
    </w:p>
    <w:p>
      <w:pPr>
        <w:spacing w:after="0" w:line="40"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71" w:lineRule="exact"/>
        <w:rPr>
          <w:sz w:val="24"/>
          <w:szCs w:val="24"/>
          <w:color w:val="auto"/>
        </w:rPr>
      </w:pPr>
    </w:p>
    <w:p>
      <w:pPr>
        <w:ind w:left="39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x No fee required.</w:t>
      </w:r>
    </w:p>
    <w:p>
      <w:pPr>
        <w:spacing w:after="0" w:line="261" w:lineRule="exact"/>
        <w:rPr>
          <w:sz w:val="24"/>
          <w:szCs w:val="24"/>
          <w:color w:val="auto"/>
        </w:rPr>
      </w:pPr>
    </w:p>
    <w:p>
      <w:pPr>
        <w:ind w:left="220"/>
        <w:spacing w:after="0"/>
        <w:rPr>
          <w:sz w:val="20"/>
          <w:szCs w:val="20"/>
          <w:color w:val="auto"/>
        </w:rPr>
      </w:pPr>
      <w:r>
        <w:rPr>
          <w:rFonts w:ascii="Arial" w:cs="Arial" w:eastAsia="Arial" w:hAnsi="Arial"/>
          <w:sz w:val="14"/>
          <w:szCs w:val="14"/>
          <w:color w:val="auto"/>
        </w:rPr>
        <w:t>Fee computed on table below per Exchange Act Rules 14a-6(i)(1) and 0-11.</w:t>
      </w:r>
    </w:p>
    <w:p>
      <w:pPr>
        <w:spacing w:after="0" w:line="149" w:lineRule="exact"/>
        <w:rPr>
          <w:sz w:val="24"/>
          <w:szCs w:val="24"/>
          <w:color w:val="auto"/>
        </w:rPr>
      </w:pPr>
    </w:p>
    <w:p>
      <w:pPr>
        <w:ind w:left="780" w:hanging="194"/>
        <w:spacing w:after="0"/>
        <w:tabs>
          <w:tab w:leader="none" w:pos="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Title of each class of securities to which the transaction applies: N/A</w:t>
      </w:r>
    </w:p>
    <w:p>
      <w:pPr>
        <w:ind w:left="780" w:hanging="194"/>
        <w:spacing w:after="0" w:line="221" w:lineRule="auto"/>
        <w:tabs>
          <w:tab w:leader="none" w:pos="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Aggregate number of securities to which the transaction applies: N/A</w:t>
      </w:r>
    </w:p>
    <w:p>
      <w:pPr>
        <w:ind w:left="800" w:right="40" w:hanging="214"/>
        <w:spacing w:after="0" w:line="221" w:lineRule="auto"/>
        <w:tabs>
          <w:tab w:leader="none" w:pos="776" w:val="left"/>
        </w:tabs>
        <w:numPr>
          <w:ilvl w:val="0"/>
          <w:numId w:val="1"/>
        </w:numPr>
        <w:rPr>
          <w:rFonts w:ascii="Arial" w:cs="Arial" w:eastAsia="Arial" w:hAnsi="Arial"/>
          <w:sz w:val="14"/>
          <w:szCs w:val="14"/>
          <w:color w:val="auto"/>
        </w:rPr>
      </w:pPr>
      <w:r>
        <w:rPr>
          <w:rFonts w:ascii="Arial" w:cs="Arial" w:eastAsia="Arial" w:hAnsi="Arial"/>
          <w:sz w:val="14"/>
          <w:szCs w:val="14"/>
          <w:color w:val="auto"/>
        </w:rPr>
        <w:t>Per unit price or other underlying value of the transaction computed pursuant to Exchange Act Rule 0-11 (set forth the amount on which the filing fee is calculated and state how it determined): N/A</w:t>
      </w:r>
    </w:p>
    <w:p>
      <w:pPr>
        <w:spacing w:after="0" w:line="1" w:lineRule="exact"/>
        <w:rPr>
          <w:rFonts w:ascii="Arial" w:cs="Arial" w:eastAsia="Arial" w:hAnsi="Arial"/>
          <w:sz w:val="14"/>
          <w:szCs w:val="14"/>
          <w:color w:val="auto"/>
        </w:rPr>
      </w:pPr>
    </w:p>
    <w:p>
      <w:pPr>
        <w:ind w:left="780" w:hanging="194"/>
        <w:spacing w:after="0" w:line="221" w:lineRule="auto"/>
        <w:tabs>
          <w:tab w:leader="none" w:pos="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Proposed maximum aggregate value of the transaction: N/A</w:t>
      </w:r>
    </w:p>
    <w:p>
      <w:pPr>
        <w:ind w:left="780" w:hanging="194"/>
        <w:spacing w:after="0"/>
        <w:tabs>
          <w:tab w:leader="none" w:pos="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fee paid: N/A</w:t>
      </w:r>
    </w:p>
    <w:p>
      <w:pPr>
        <w:spacing w:after="0" w:line="13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Fee paid previously with preliminary materials.</w:t>
      </w:r>
    </w:p>
    <w:p>
      <w:pPr>
        <w:spacing w:after="0" w:line="162" w:lineRule="exact"/>
        <w:rPr>
          <w:sz w:val="24"/>
          <w:szCs w:val="24"/>
          <w:color w:val="auto"/>
        </w:rPr>
      </w:pPr>
    </w:p>
    <w:p>
      <w:pPr>
        <w:ind w:firstLine="119"/>
        <w:spacing w:after="0" w:line="267" w:lineRule="auto"/>
        <w:rPr>
          <w:sz w:val="20"/>
          <w:szCs w:val="20"/>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 statement number, or the Form or Schedule and the date of its filing.</w:t>
      </w:r>
    </w:p>
    <w:p>
      <w:pPr>
        <w:spacing w:after="0" w:line="101" w:lineRule="exact"/>
        <w:rPr>
          <w:sz w:val="24"/>
          <w:szCs w:val="24"/>
          <w:color w:val="auto"/>
        </w:rPr>
      </w:pPr>
    </w:p>
    <w:p>
      <w:pPr>
        <w:ind w:left="780" w:hanging="194"/>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 Previously Paid:</w:t>
      </w:r>
    </w:p>
    <w:p>
      <w:pPr>
        <w:ind w:left="780" w:hanging="194"/>
        <w:spacing w:after="0" w:line="221" w:lineRule="auto"/>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780" w:hanging="194"/>
        <w:spacing w:after="0" w:line="221" w:lineRule="auto"/>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Filing Party:</w:t>
      </w:r>
    </w:p>
    <w:p>
      <w:pPr>
        <w:ind w:left="780" w:hanging="194"/>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-370840</wp:posOffset>
            </wp:positionH>
            <wp:positionV relativeFrom="paragraph">
              <wp:posOffset>447675</wp:posOffset>
            </wp:positionV>
            <wp:extent cx="727837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79" w:right="1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THE WASHINGTON POST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1150 15TH STREET, NW │ WASHINGTON, DC 20071 │ (202) 334-6000</w:t>
      </w:r>
    </w:p>
    <w:p>
      <w:pPr>
        <w:spacing w:after="0" w:line="200" w:lineRule="exact"/>
        <w:rPr>
          <w:sz w:val="20"/>
          <w:szCs w:val="20"/>
          <w:color w:val="auto"/>
        </w:rPr>
      </w:pPr>
    </w:p>
    <w:p>
      <w:pPr>
        <w:spacing w:after="0" w:line="385"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w:t>
      </w:r>
      <w:r>
        <w:rPr>
          <w:rFonts w:ascii="Arial" w:cs="Arial" w:eastAsia="Arial" w:hAnsi="Arial"/>
          <w:sz w:val="12"/>
          <w:szCs w:val="12"/>
          <w:color w:val="auto"/>
        </w:rPr>
        <w:t>O</w:t>
      </w:r>
      <w:r>
        <w:rPr>
          <w:rFonts w:ascii="Arial" w:cs="Arial" w:eastAsia="Arial" w:hAnsi="Arial"/>
          <w:sz w:val="17"/>
          <w:szCs w:val="17"/>
          <w:color w:val="auto"/>
        </w:rPr>
        <w:t xml:space="preserve"> O</w:t>
      </w:r>
      <w:r>
        <w:rPr>
          <w:rFonts w:ascii="Arial" w:cs="Arial" w:eastAsia="Arial" w:hAnsi="Arial"/>
          <w:sz w:val="12"/>
          <w:szCs w:val="12"/>
          <w:color w:val="auto"/>
        </w:rPr>
        <w:t>UR</w:t>
      </w:r>
      <w:r>
        <w:rPr>
          <w:rFonts w:ascii="Arial" w:cs="Arial" w:eastAsia="Arial" w:hAnsi="Arial"/>
          <w:sz w:val="17"/>
          <w:szCs w:val="17"/>
          <w:color w:val="auto"/>
        </w:rPr>
        <w:t xml:space="preserve"> S</w:t>
      </w:r>
      <w:r>
        <w:rPr>
          <w:rFonts w:ascii="Arial" w:cs="Arial" w:eastAsia="Arial" w:hAnsi="Arial"/>
          <w:sz w:val="12"/>
          <w:szCs w:val="12"/>
          <w:color w:val="auto"/>
        </w:rPr>
        <w:t>HAREHOLDERS</w:t>
      </w:r>
      <w:r>
        <w:rPr>
          <w:rFonts w:ascii="Arial" w:cs="Arial" w:eastAsia="Arial" w:hAnsi="Arial"/>
          <w:sz w:val="17"/>
          <w:szCs w:val="17"/>
          <w:color w:val="auto"/>
        </w:rPr>
        <w:t>:</w:t>
      </w:r>
    </w:p>
    <w:p>
      <w:pPr>
        <w:spacing w:after="0" w:line="202" w:lineRule="exact"/>
        <w:rPr>
          <w:sz w:val="20"/>
          <w:szCs w:val="20"/>
          <w:color w:val="auto"/>
        </w:rPr>
      </w:pPr>
    </w:p>
    <w:p>
      <w:pPr>
        <w:jc w:val="both"/>
        <w:ind w:right="20" w:firstLine="709"/>
        <w:spacing w:after="0" w:line="260" w:lineRule="auto"/>
        <w:rPr>
          <w:sz w:val="20"/>
          <w:szCs w:val="20"/>
          <w:color w:val="auto"/>
        </w:rPr>
      </w:pPr>
      <w:r>
        <w:rPr>
          <w:rFonts w:ascii="Arial" w:cs="Arial" w:eastAsia="Arial" w:hAnsi="Arial"/>
          <w:sz w:val="17"/>
          <w:szCs w:val="17"/>
          <w:color w:val="auto"/>
        </w:rPr>
        <w:t>You are cordially invited to the 2013 Annual Meeting of Shareholders of The Washington Post Company (the “Company”), which will be held in the Audi The Washington Post Building, 1150 15th Street, NW, Washington, DC 20071, on Thursday, May 9, 2013, at 9:00 a.m.</w:t>
      </w:r>
    </w:p>
    <w:p>
      <w:pPr>
        <w:spacing w:after="0" w:line="172" w:lineRule="exact"/>
        <w:rPr>
          <w:sz w:val="20"/>
          <w:szCs w:val="20"/>
          <w:color w:val="auto"/>
        </w:rPr>
      </w:pPr>
    </w:p>
    <w:p>
      <w:pPr>
        <w:jc w:val="both"/>
        <w:ind w:right="20" w:firstLine="709"/>
        <w:spacing w:after="0" w:line="252" w:lineRule="auto"/>
        <w:rPr>
          <w:sz w:val="20"/>
          <w:szCs w:val="20"/>
          <w:color w:val="auto"/>
        </w:rPr>
      </w:pPr>
      <w:r>
        <w:rPr>
          <w:rFonts w:ascii="Arial" w:cs="Arial" w:eastAsia="Arial" w:hAnsi="Arial"/>
          <w:sz w:val="17"/>
          <w:szCs w:val="17"/>
          <w:color w:val="auto"/>
        </w:rPr>
        <w:t>At the Company’s 2013 Annual Meeting of Shareholders (the “Meeting”), there will be a report on the Company’s activities, and Directors will be elected ensuing year. In addition, the Class A Shareholders will have an advisory vote on whether to approve the compensation paid to the Company’s named executive offic 2012.</w:t>
      </w:r>
    </w:p>
    <w:p>
      <w:pPr>
        <w:spacing w:after="0" w:line="178"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It is important that your shares be represented at the Meeting. Please sign the accompanying Proxy and return it promptly in the envelope provided. If you attend, kindly so indicate in the space provided on the Proxy. You may also vote your shares by telephone or on the Internet. If you choose to vote your shares by tele or on the Internet, please follow the instructions in the enclosed Proxy.</w:t>
      </w:r>
    </w:p>
    <w:p>
      <w:pPr>
        <w:spacing w:after="0" w:line="178"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Sincerely yours,</w:t>
      </w:r>
    </w:p>
    <w:p>
      <w:pPr>
        <w:spacing w:after="0" w:line="152" w:lineRule="exact"/>
        <w:rPr>
          <w:sz w:val="20"/>
          <w:szCs w:val="20"/>
          <w:color w:val="auto"/>
        </w:rPr>
      </w:pPr>
    </w:p>
    <w:p>
      <w:pPr>
        <w:ind w:left="6380"/>
        <w:spacing w:after="0"/>
        <w:rPr>
          <w:sz w:val="20"/>
          <w:szCs w:val="20"/>
          <w:color w:val="auto"/>
        </w:rPr>
      </w:pPr>
      <w:r>
        <w:rPr>
          <w:rFonts w:ascii="Arial" w:cs="Arial" w:eastAsia="Arial" w:hAnsi="Arial"/>
          <w:sz w:val="17"/>
          <w:szCs w:val="17"/>
          <w:u w:val="single" w:color="auto"/>
          <w:color w:val="auto"/>
        </w:rPr>
        <w:t>/s/ Donald E. Graham</w:t>
      </w:r>
    </w:p>
    <w:p>
      <w:pPr>
        <w:spacing w:after="0" w:line="14"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w:t>
      </w:r>
      <w:r>
        <w:rPr>
          <w:rFonts w:ascii="Arial" w:cs="Arial" w:eastAsia="Arial" w:hAnsi="Arial"/>
          <w:sz w:val="12"/>
          <w:szCs w:val="12"/>
          <w:color w:val="auto"/>
        </w:rPr>
        <w:t>ONALD</w:t>
      </w:r>
      <w:r>
        <w:rPr>
          <w:rFonts w:ascii="Arial" w:cs="Arial" w:eastAsia="Arial" w:hAnsi="Arial"/>
          <w:sz w:val="17"/>
          <w:szCs w:val="17"/>
          <w:color w:val="auto"/>
        </w:rPr>
        <w:t xml:space="preserve"> E. G</w:t>
      </w:r>
      <w:r>
        <w:rPr>
          <w:rFonts w:ascii="Arial" w:cs="Arial" w:eastAsia="Arial" w:hAnsi="Arial"/>
          <w:sz w:val="12"/>
          <w:szCs w:val="12"/>
          <w:color w:val="auto"/>
        </w:rPr>
        <w:t>RAHAM</w:t>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7"/>
          <w:szCs w:val="17"/>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315595</wp:posOffset>
            </wp:positionV>
            <wp:extent cx="727837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5" w:right="1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THE WASHINGTON POST COMPANY</w:t>
      </w:r>
    </w:p>
    <w:p>
      <w:pPr>
        <w:spacing w:after="0" w:line="200" w:lineRule="exact"/>
        <w:rPr>
          <w:sz w:val="20"/>
          <w:szCs w:val="20"/>
          <w:color w:val="auto"/>
        </w:rPr>
      </w:pPr>
    </w:p>
    <w:p>
      <w:pPr>
        <w:spacing w:after="0" w:line="293"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Notice of Annual Meeting of Shareholders — May 9, 2013</w:t>
      </w:r>
    </w:p>
    <w:p>
      <w:pPr>
        <w:spacing w:after="0" w:line="200" w:lineRule="exact"/>
        <w:rPr>
          <w:sz w:val="20"/>
          <w:szCs w:val="20"/>
          <w:color w:val="auto"/>
        </w:rPr>
      </w:pPr>
    </w:p>
    <w:p>
      <w:pPr>
        <w:spacing w:after="0" w:line="253" w:lineRule="exact"/>
        <w:rPr>
          <w:sz w:val="20"/>
          <w:szCs w:val="20"/>
          <w:color w:val="auto"/>
        </w:rPr>
      </w:pPr>
    </w:p>
    <w:p>
      <w:pPr>
        <w:ind w:firstLine="709"/>
        <w:spacing w:after="0" w:line="292" w:lineRule="auto"/>
        <w:rPr>
          <w:sz w:val="20"/>
          <w:szCs w:val="20"/>
          <w:color w:val="auto"/>
        </w:rPr>
      </w:pPr>
      <w:r>
        <w:rPr>
          <w:rFonts w:ascii="Arial" w:cs="Arial" w:eastAsia="Arial" w:hAnsi="Arial"/>
          <w:sz w:val="16"/>
          <w:szCs w:val="16"/>
          <w:color w:val="auto"/>
        </w:rPr>
        <w:t>The 2013 Annual Meeting of Shareholders of The Washington Post Company will be held in the Auditorium, The Washington Post Building, 1150 15th St NW, Washington, DC 20071, on Thursday, May 9, 2013, at 9:00 a.m., Eastern Daylight Saving Time, for the following purposes:</w:t>
      </w:r>
    </w:p>
    <w:p>
      <w:pPr>
        <w:spacing w:after="0" w:line="148" w:lineRule="exact"/>
        <w:rPr>
          <w:sz w:val="20"/>
          <w:szCs w:val="20"/>
          <w:color w:val="auto"/>
        </w:rPr>
      </w:pPr>
    </w:p>
    <w:p>
      <w:pPr>
        <w:ind w:left="1380" w:hanging="198"/>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Directors for the ensuing year, as more fully described in the accompanying Proxy Statement.</w:t>
      </w:r>
    </w:p>
    <w:p>
      <w:pPr>
        <w:spacing w:after="0" w:line="13" w:lineRule="exact"/>
        <w:rPr>
          <w:rFonts w:ascii="Arial" w:cs="Arial" w:eastAsia="Arial" w:hAnsi="Arial"/>
          <w:sz w:val="17"/>
          <w:szCs w:val="17"/>
          <w:color w:val="auto"/>
        </w:rPr>
      </w:pPr>
    </w:p>
    <w:p>
      <w:pPr>
        <w:ind w:left="1400" w:right="60" w:hanging="218"/>
        <w:spacing w:after="0" w:line="243" w:lineRule="auto"/>
        <w:tabs>
          <w:tab w:leader="none" w:pos="1383"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Class A Shareholders, on an advisory basis, to vote on whether to approve the compensation paid to the named executive officers of the Company for 2012.</w:t>
      </w:r>
    </w:p>
    <w:p>
      <w:pPr>
        <w:spacing w:after="0" w:line="1" w:lineRule="exact"/>
        <w:rPr>
          <w:rFonts w:ascii="Arial" w:cs="Arial" w:eastAsia="Arial" w:hAnsi="Arial"/>
          <w:sz w:val="17"/>
          <w:szCs w:val="17"/>
          <w:color w:val="auto"/>
        </w:rPr>
      </w:pPr>
    </w:p>
    <w:p>
      <w:pPr>
        <w:ind w:left="1380" w:hanging="198"/>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 thereof.</w:t>
      </w:r>
    </w:p>
    <w:p>
      <w:pPr>
        <w:spacing w:after="0" w:line="191" w:lineRule="exact"/>
        <w:rPr>
          <w:sz w:val="20"/>
          <w:szCs w:val="20"/>
          <w:color w:val="auto"/>
        </w:rPr>
      </w:pPr>
    </w:p>
    <w:p>
      <w:pPr>
        <w:jc w:val="both"/>
        <w:ind w:firstLine="709"/>
        <w:spacing w:after="0" w:line="260" w:lineRule="auto"/>
        <w:rPr>
          <w:sz w:val="20"/>
          <w:szCs w:val="20"/>
          <w:color w:val="auto"/>
        </w:rPr>
      </w:pPr>
      <w:r>
        <w:rPr>
          <w:rFonts w:ascii="Arial" w:cs="Arial" w:eastAsia="Arial" w:hAnsi="Arial"/>
          <w:sz w:val="17"/>
          <w:szCs w:val="17"/>
          <w:color w:val="auto"/>
        </w:rPr>
        <w:t>The Board of Directors of the Company (the “Board”) has fixed the close of business on March 4, 2013, as the record date for the determination of shareho entitled to notice of and to vote at the Meeting.</w:t>
      </w:r>
    </w:p>
    <w:p>
      <w:pPr>
        <w:spacing w:after="0" w:line="172" w:lineRule="exact"/>
        <w:rPr>
          <w:sz w:val="20"/>
          <w:szCs w:val="20"/>
          <w:color w:val="auto"/>
        </w:rPr>
      </w:pPr>
    </w:p>
    <w:p>
      <w:pPr>
        <w:jc w:val="both"/>
        <w:ind w:firstLine="709"/>
        <w:spacing w:after="0" w:line="249" w:lineRule="auto"/>
        <w:rPr>
          <w:sz w:val="20"/>
          <w:szCs w:val="20"/>
          <w:color w:val="auto"/>
        </w:rPr>
      </w:pPr>
      <w:r>
        <w:rPr>
          <w:rFonts w:ascii="Arial" w:cs="Arial" w:eastAsia="Arial" w:hAnsi="Arial"/>
          <w:sz w:val="17"/>
          <w:szCs w:val="17"/>
          <w:color w:val="auto"/>
        </w:rPr>
        <w:t>It is important that your shares be represented and voted at the Meeting. Please sign and return your Proxy at your earliest convenience. You may also vote shares by telephone or on the Internet. If you choose to vote your shares by telephone or on the Internet, please follow the instructions in the enclosed Proxy. You ma revoke your Proxy at any time before it has been voted at the Meeting. You may vote in person at the Meeting even if you returned a Proxy, provided that you first re your previously voted Proxy.</w:t>
      </w:r>
    </w:p>
    <w:p>
      <w:pPr>
        <w:spacing w:after="0" w:line="18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By Order of the Board of Directors,</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VERONICA DILLON, Secretary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March 27, 2013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315595</wp:posOffset>
            </wp:positionV>
            <wp:extent cx="72783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96" w:right="139" w:bottom="1440" w:gutter="0" w:footer="0" w:header="0"/>
        </w:sectPr>
      </w:pPr>
    </w:p>
    <w:bookmarkStart w:id="3" w:name="page4"/>
    <w:bookmarkEnd w:id="3"/>
    <w:p>
      <w:pPr>
        <w:ind w:left="10"/>
        <w:spacing w:after="0"/>
        <w:rPr>
          <w:sz w:val="20"/>
          <w:szCs w:val="20"/>
          <w:color w:val="auto"/>
        </w:rPr>
      </w:pPr>
      <w:r>
        <w:rPr>
          <w:rFonts w:ascii="Arial" w:cs="Arial" w:eastAsia="Arial" w:hAnsi="Arial"/>
          <w:sz w:val="17"/>
          <w:szCs w:val="17"/>
          <w:b w:val="1"/>
          <w:bCs w:val="1"/>
          <w:color w:val="auto"/>
        </w:rPr>
        <w:t>THE WASHINGTON POST COMPANY</w:t>
      </w:r>
    </w:p>
    <w:p>
      <w:pPr>
        <w:spacing w:after="0" w:line="1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1150 15th Street, NW, Washington, DC 20071</w:t>
      </w:r>
    </w:p>
    <w:p>
      <w:pPr>
        <w:spacing w:after="0" w:line="191" w:lineRule="exact"/>
        <w:rPr>
          <w:sz w:val="20"/>
          <w:szCs w:val="20"/>
          <w:color w:val="auto"/>
        </w:rPr>
      </w:pPr>
    </w:p>
    <w:p>
      <w:pPr>
        <w:ind w:left="10370"/>
        <w:spacing w:after="0"/>
        <w:rPr>
          <w:sz w:val="20"/>
          <w:szCs w:val="20"/>
          <w:color w:val="auto"/>
        </w:rPr>
      </w:pPr>
      <w:r>
        <w:rPr>
          <w:rFonts w:ascii="Arial" w:cs="Arial" w:eastAsia="Arial" w:hAnsi="Arial"/>
          <w:sz w:val="16"/>
          <w:szCs w:val="16"/>
          <w:color w:val="auto"/>
        </w:rPr>
        <w:t>March 2</w:t>
      </w:r>
    </w:p>
    <w:p>
      <w:pPr>
        <w:spacing w:after="0" w:line="213" w:lineRule="exact"/>
        <w:rPr>
          <w:sz w:val="20"/>
          <w:szCs w:val="20"/>
          <w:color w:val="auto"/>
        </w:rPr>
      </w:pPr>
    </w:p>
    <w:p>
      <w:pPr>
        <w:jc w:val="both"/>
        <w:ind w:left="10"/>
        <w:spacing w:after="0" w:line="320" w:lineRule="auto"/>
        <w:rPr>
          <w:sz w:val="20"/>
          <w:szCs w:val="20"/>
          <w:color w:val="auto"/>
        </w:rPr>
      </w:pPr>
      <w:r>
        <w:rPr>
          <w:rFonts w:ascii="Arial" w:cs="Arial" w:eastAsia="Arial" w:hAnsi="Arial"/>
          <w:sz w:val="14"/>
          <w:szCs w:val="14"/>
          <w:color w:val="auto"/>
        </w:rPr>
        <w:t>This Proxy Statement contains information relating to the 2013 Annual Meeting of Shareholders of The Washington Post Company to be held at the Com headquarters, 1150 15th Street, NW, Washington, DC 20071, on Thursday, May 9, 2013, at 9:00 a.m., Eastern Daylight Saving Time, or any adjournments thereof, purposes set forth in the accompanying Notice of the 2013 Annual Meeting of Shareholders. This Proxy Statement and the accompanying forms of Proxy and instructions are being delivered to shareholders on or about March 27, 2013. The Board of Directors of the Company is making this Proxy solicitation.</w:t>
      </w:r>
    </w:p>
    <w:p>
      <w:pPr>
        <w:spacing w:after="0" w:line="130" w:lineRule="exact"/>
        <w:rPr>
          <w:sz w:val="20"/>
          <w:szCs w:val="20"/>
          <w:color w:val="auto"/>
        </w:rPr>
      </w:pPr>
    </w:p>
    <w:p>
      <w:pPr>
        <w:jc w:val="both"/>
        <w:ind w:left="10"/>
        <w:spacing w:after="0" w:line="265"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Shareholders to be held on May 9, 2013. This Proxy Statement and Annual Report to Shareholders are available at www.washpostco.com.</w:t>
      </w:r>
    </w:p>
    <w:p>
      <w:pPr>
        <w:spacing w:after="0" w:line="164" w:lineRule="exact"/>
        <w:rPr>
          <w:sz w:val="20"/>
          <w:szCs w:val="20"/>
          <w:color w:val="auto"/>
        </w:rPr>
      </w:pPr>
    </w:p>
    <w:p>
      <w:pPr>
        <w:ind w:left="4610"/>
        <w:spacing w:after="0"/>
        <w:rPr>
          <w:sz w:val="20"/>
          <w:szCs w:val="20"/>
          <w:color w:val="auto"/>
        </w:rPr>
      </w:pPr>
      <w:r>
        <w:rPr>
          <w:rFonts w:ascii="Arial" w:cs="Arial" w:eastAsia="Arial" w:hAnsi="Arial"/>
          <w:sz w:val="17"/>
          <w:szCs w:val="17"/>
          <w:b w:val="1"/>
          <w:bCs w:val="1"/>
          <w:color w:val="auto"/>
        </w:rPr>
        <w:t>QUESTIONS AND ANSWERS</w:t>
      </w:r>
    </w:p>
    <w:p>
      <w:pPr>
        <w:spacing w:after="0" w:line="20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Q:  What am I voting on?</w:t>
      </w:r>
    </w:p>
    <w:p>
      <w:pPr>
        <w:spacing w:after="0" w:line="206" w:lineRule="exact"/>
        <w:rPr>
          <w:sz w:val="20"/>
          <w:szCs w:val="20"/>
          <w:color w:val="auto"/>
        </w:rPr>
      </w:pPr>
    </w:p>
    <w:p>
      <w:pPr>
        <w:ind w:left="10" w:right="20" w:hanging="10"/>
        <w:spacing w:after="0" w:line="275"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eleven Directors is to be elected, seven by the holders of Class A Stock voting sep as a class and four by the holders of Class B Stock voting separately as a class. All Directors will hold office until the next Annual Meeting or until their respective successors shall have been elected and shall have qualified or as otherwise provided in the bylaws of the Company.</w:t>
      </w:r>
    </w:p>
    <w:p>
      <w:pPr>
        <w:spacing w:after="0" w:line="162" w:lineRule="exact"/>
        <w:rPr>
          <w:sz w:val="20"/>
          <w:szCs w:val="20"/>
          <w:color w:val="auto"/>
        </w:rPr>
      </w:pPr>
    </w:p>
    <w:p>
      <w:pPr>
        <w:ind w:left="10"/>
        <w:spacing w:after="0" w:line="260" w:lineRule="auto"/>
        <w:rPr>
          <w:sz w:val="20"/>
          <w:szCs w:val="20"/>
          <w:color w:val="auto"/>
        </w:rPr>
      </w:pPr>
      <w:r>
        <w:rPr>
          <w:rFonts w:ascii="Arial" w:cs="Arial" w:eastAsia="Arial" w:hAnsi="Arial"/>
          <w:sz w:val="17"/>
          <w:szCs w:val="17"/>
          <w:color w:val="auto"/>
        </w:rPr>
        <w:t>In the event that any nominee withdraws or for any reason is not able to serve as a Director, Donald E. Graham, Hal S. Jones, Veronica Dillon and Gerald M. Rosberg acting as your proxies, may vote for such other person as the Board of Directors may nominate.</w:t>
      </w:r>
    </w:p>
    <w:p>
      <w:pPr>
        <w:spacing w:after="0" w:line="172" w:lineRule="exact"/>
        <w:rPr>
          <w:sz w:val="20"/>
          <w:szCs w:val="20"/>
          <w:color w:val="auto"/>
        </w:rPr>
      </w:pPr>
    </w:p>
    <w:p>
      <w:pPr>
        <w:ind w:left="10"/>
        <w:spacing w:after="0" w:line="292" w:lineRule="auto"/>
        <w:rPr>
          <w:sz w:val="20"/>
          <w:szCs w:val="20"/>
          <w:color w:val="auto"/>
        </w:rPr>
      </w:pPr>
      <w:r>
        <w:rPr>
          <w:rFonts w:ascii="Arial" w:cs="Arial" w:eastAsia="Arial" w:hAnsi="Arial"/>
          <w:sz w:val="16"/>
          <w:szCs w:val="16"/>
          <w:color w:val="auto"/>
        </w:rPr>
        <w:t>In addition, if you are a holder of Class A Stock, you are voting on whether to approve the compensation paid to the Company’s named executive officers for 2012. In accordance with rules of the U.S. Securities and Exchange Commission (the “SEC”), these votes are advisory in nature and non-binding.</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17"/>
          <w:szCs w:val="17"/>
          <w:color w:val="auto"/>
        </w:rPr>
        <w:t>Each of your shares entitles you to one vote with respect to each matter on which you may vote.</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Q:  What are the voting recommendations of the Board?</w:t>
      </w:r>
    </w:p>
    <w:p>
      <w:pPr>
        <w:spacing w:after="0" w:line="206" w:lineRule="exact"/>
        <w:rPr>
          <w:sz w:val="20"/>
          <w:szCs w:val="20"/>
          <w:color w:val="auto"/>
        </w:rPr>
      </w:pPr>
    </w:p>
    <w:p>
      <w:pPr>
        <w:ind w:left="10" w:right="80" w:hanging="10"/>
        <w:spacing w:after="0" w:line="250" w:lineRule="auto"/>
        <w:tabs>
          <w:tab w:leader="none" w:pos="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recommends voting for each of the nominated Directors listed on the Proxy card. The Board knows of no reason that would cause any nominee to be to act or to refuse to accept nomination or election.</w:t>
      </w:r>
    </w:p>
    <w:p>
      <w:pPr>
        <w:ind w:left="10"/>
        <w:spacing w:after="0"/>
        <w:rPr>
          <w:rFonts w:ascii="Arial" w:cs="Arial" w:eastAsia="Arial" w:hAnsi="Arial"/>
          <w:sz w:val="17"/>
          <w:szCs w:val="17"/>
          <w:color w:val="auto"/>
        </w:rPr>
      </w:pPr>
      <w:r>
        <w:rPr>
          <w:rFonts w:ascii="Arial" w:cs="Arial" w:eastAsia="Arial" w:hAnsi="Arial"/>
          <w:sz w:val="17"/>
          <w:szCs w:val="17"/>
          <w:color w:val="auto"/>
        </w:rPr>
        <w:t>The Board recommends voting for the approval of the compensation paid to the Company’s named executive officers for 2012.</w:t>
      </w:r>
    </w:p>
    <w:p>
      <w:pPr>
        <w:spacing w:after="0" w:line="187"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Q:  Will any other matters be voted on?</w:t>
      </w:r>
    </w:p>
    <w:p>
      <w:pPr>
        <w:spacing w:after="0" w:line="206" w:lineRule="exact"/>
        <w:rPr>
          <w:sz w:val="20"/>
          <w:szCs w:val="20"/>
          <w:color w:val="auto"/>
        </w:rPr>
      </w:pPr>
    </w:p>
    <w:p>
      <w:pPr>
        <w:jc w:val="both"/>
        <w:ind w:left="10" w:hanging="10"/>
        <w:spacing w:after="0" w:line="252" w:lineRule="auto"/>
        <w:tabs>
          <w:tab w:leader="none" w:pos="337"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not aware of any matters to be voted on other than the election of Directors and the Class A Shareholder advisory vote on compensation paid to the Com named executive officers for 2012. If any other matter is properly brought before the Meeting, Donald E. Graham, Hal S. Jones, Veronica Dillon and Gerald M. Rosb acting as your proxies, will vote for you at their discretion.</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Q:  How do I vote?</w:t>
      </w:r>
    </w:p>
    <w:p>
      <w:pPr>
        <w:spacing w:after="0" w:line="206" w:lineRule="exact"/>
        <w:rPr>
          <w:sz w:val="20"/>
          <w:szCs w:val="20"/>
          <w:color w:val="auto"/>
        </w:rPr>
      </w:pPr>
    </w:p>
    <w:p>
      <w:pPr>
        <w:ind w:left="330" w:hanging="329"/>
        <w:spacing w:after="0"/>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are four ways to vote:</w:t>
      </w:r>
    </w:p>
    <w:p>
      <w:pPr>
        <w:spacing w:after="0" w:line="13" w:lineRule="exact"/>
        <w:rPr>
          <w:rFonts w:ascii="Arial" w:cs="Arial" w:eastAsia="Arial" w:hAnsi="Arial"/>
          <w:sz w:val="17"/>
          <w:szCs w:val="17"/>
          <w:color w:val="auto"/>
        </w:rPr>
      </w:pPr>
    </w:p>
    <w:p>
      <w:pPr>
        <w:ind w:left="730" w:hanging="134"/>
        <w:spacing w:after="0"/>
        <w:tabs>
          <w:tab w:leader="none" w:pos="73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Internet at www.investorvote.com. We encourage you to vote this way;</w:t>
      </w:r>
    </w:p>
    <w:p>
      <w:pPr>
        <w:spacing w:after="0" w:line="3" w:lineRule="exact"/>
        <w:rPr>
          <w:rFonts w:ascii="Arial" w:cs="Arial" w:eastAsia="Arial" w:hAnsi="Arial"/>
          <w:sz w:val="17"/>
          <w:szCs w:val="17"/>
          <w:color w:val="auto"/>
        </w:rPr>
      </w:pPr>
    </w:p>
    <w:p>
      <w:pPr>
        <w:ind w:left="730" w:hanging="134"/>
        <w:spacing w:after="0"/>
        <w:tabs>
          <w:tab w:leader="none" w:pos="73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toll-free telephone at 1-800-652-8683;</w:t>
      </w:r>
    </w:p>
    <w:p>
      <w:pPr>
        <w:spacing w:after="0" w:line="3" w:lineRule="exact"/>
        <w:rPr>
          <w:rFonts w:ascii="Arial" w:cs="Arial" w:eastAsia="Arial" w:hAnsi="Arial"/>
          <w:sz w:val="17"/>
          <w:szCs w:val="17"/>
          <w:color w:val="auto"/>
        </w:rPr>
      </w:pPr>
    </w:p>
    <w:p>
      <w:pPr>
        <w:ind w:left="730" w:hanging="134"/>
        <w:spacing w:after="0"/>
        <w:tabs>
          <w:tab w:leader="none" w:pos="73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completing and mailing your Proxy card; or</w:t>
      </w:r>
    </w:p>
    <w:p>
      <w:pPr>
        <w:spacing w:after="0" w:line="3" w:lineRule="exact"/>
        <w:rPr>
          <w:rFonts w:ascii="Arial" w:cs="Arial" w:eastAsia="Arial" w:hAnsi="Arial"/>
          <w:sz w:val="17"/>
          <w:szCs w:val="17"/>
          <w:color w:val="auto"/>
        </w:rPr>
      </w:pPr>
    </w:p>
    <w:p>
      <w:pPr>
        <w:ind w:left="730" w:hanging="134"/>
        <w:spacing w:after="0"/>
        <w:tabs>
          <w:tab w:leader="none" w:pos="730" w:val="left"/>
        </w:tabs>
        <w:numPr>
          <w:ilvl w:val="1"/>
          <w:numId w:val="7"/>
        </w:numPr>
        <w:rPr>
          <w:rFonts w:ascii="Arial" w:cs="Arial" w:eastAsia="Arial" w:hAnsi="Arial"/>
          <w:sz w:val="17"/>
          <w:szCs w:val="17"/>
          <w:color w:val="auto"/>
        </w:rPr>
      </w:pPr>
      <w:r>
        <w:rPr>
          <w:rFonts w:ascii="Arial" w:cs="Arial" w:eastAsia="Arial" w:hAnsi="Arial"/>
          <w:sz w:val="17"/>
          <w:szCs w:val="17"/>
          <w:color w:val="auto"/>
        </w:rPr>
        <w:t>By written ballot at the Meeting.</w:t>
      </w:r>
    </w:p>
    <w:p>
      <w:pPr>
        <w:spacing w:after="0" w:line="191" w:lineRule="exact"/>
        <w:rPr>
          <w:sz w:val="20"/>
          <w:szCs w:val="20"/>
          <w:color w:val="auto"/>
        </w:rPr>
      </w:pPr>
    </w:p>
    <w:p>
      <w:pPr>
        <w:jc w:val="both"/>
        <w:ind w:left="10"/>
        <w:spacing w:after="0" w:line="252" w:lineRule="auto"/>
        <w:rPr>
          <w:sz w:val="20"/>
          <w:szCs w:val="20"/>
          <w:color w:val="auto"/>
        </w:rPr>
      </w:pPr>
      <w:r>
        <w:rPr>
          <w:rFonts w:ascii="Arial" w:cs="Arial" w:eastAsia="Arial" w:hAnsi="Arial"/>
          <w:sz w:val="17"/>
          <w:szCs w:val="17"/>
          <w:color w:val="auto"/>
        </w:rPr>
        <w:t>If you vote by Internet or telephone, your vote must be received by 5:00 p.m., Eastern Daylight Saving Time, on the day before the Meeting. Your shares will be vote you indicate. If you are a Class B Shareholder and do not indicate your voting preferences, Donald E. Graham, Hal S. Jones, Veronica Dillon and Gerald M. Rosberg, as your proxies, will vote your shares in favor of the applicable nominated Directors.</w:t>
      </w:r>
    </w:p>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744" w:right="139" w:bottom="1440" w:gutter="0" w:footer="0" w:header="0"/>
        </w:sectPr>
      </w:pPr>
    </w:p>
    <w:bookmarkStart w:id="4" w:name="page5"/>
    <w:bookmarkEnd w:id="4"/>
    <w:p>
      <w:pPr>
        <w:ind w:left="9"/>
        <w:spacing w:after="0" w:line="260" w:lineRule="auto"/>
        <w:rPr>
          <w:sz w:val="20"/>
          <w:szCs w:val="20"/>
          <w:color w:val="auto"/>
        </w:rPr>
      </w:pPr>
      <w:r>
        <w:rPr>
          <w:rFonts w:ascii="Arial" w:cs="Arial" w:eastAsia="Arial" w:hAnsi="Arial"/>
          <w:sz w:val="17"/>
          <w:szCs w:val="17"/>
          <w:color w:val="auto"/>
        </w:rPr>
        <w:t>If you are a Class A Shareholder and do not indicate your voting preferences, the foregoing persons, acting as your proxies, will vote your shares in favor of the appli nominated Directors, and for approval of the compensation paid to the Company’s named executive officers for 2012.</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Who can vote?</w:t>
      </w:r>
    </w:p>
    <w:p>
      <w:pPr>
        <w:spacing w:after="0" w:line="206" w:lineRule="exact"/>
        <w:rPr>
          <w:sz w:val="20"/>
          <w:szCs w:val="20"/>
          <w:color w:val="auto"/>
        </w:rPr>
      </w:pPr>
    </w:p>
    <w:p>
      <w:pPr>
        <w:jc w:val="both"/>
        <w:ind w:left="9" w:hanging="9"/>
        <w:spacing w:after="0" w:line="332" w:lineRule="auto"/>
        <w:tabs>
          <w:tab w:leader="none" w:pos="334" w:val="left"/>
        </w:tabs>
        <w:numPr>
          <w:ilvl w:val="0"/>
          <w:numId w:val="8"/>
        </w:numPr>
        <w:rPr>
          <w:rFonts w:ascii="Arial" w:cs="Arial" w:eastAsia="Arial" w:hAnsi="Arial"/>
          <w:sz w:val="14"/>
          <w:szCs w:val="14"/>
          <w:color w:val="auto"/>
        </w:rPr>
      </w:pPr>
      <w:r>
        <w:rPr>
          <w:rFonts w:ascii="Arial" w:cs="Arial" w:eastAsia="Arial" w:hAnsi="Arial"/>
          <w:sz w:val="14"/>
          <w:szCs w:val="14"/>
          <w:color w:val="auto"/>
        </w:rPr>
        <w:t>You can vote if you were a shareholder of record as of the close of business on March 4, 2013 (the “Record Date”). If you hold shares in street name, your broke or other nominee will instruct you as to how your shares may be voted by proxy, including whether telephonic or Internet voting options are available. You may not v shares held in street name in person at the Meeting unless you have a Proxy executed in your favor by your broker, bank or other nominee.</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4"/>
          <w:szCs w:val="14"/>
          <w:color w:val="auto"/>
        </w:rPr>
        <w:t>In accordance with the Company’s constitutive documents and under Delaware corporate law, only Class A Shareholders are entitled to vote on Proposal 2: Approval</w:t>
      </w:r>
    </w:p>
    <w:p>
      <w:pPr>
        <w:spacing w:after="0" w:line="48" w:lineRule="exact"/>
        <w:rPr>
          <w:sz w:val="20"/>
          <w:szCs w:val="20"/>
          <w:color w:val="auto"/>
        </w:rPr>
      </w:pPr>
    </w:p>
    <w:p>
      <w:pPr>
        <w:ind w:left="9"/>
        <w:spacing w:after="0"/>
        <w:rPr>
          <w:sz w:val="20"/>
          <w:szCs w:val="20"/>
          <w:color w:val="auto"/>
        </w:rPr>
      </w:pPr>
      <w:r>
        <w:rPr>
          <w:rFonts w:ascii="Arial" w:cs="Arial" w:eastAsia="Arial" w:hAnsi="Arial"/>
          <w:sz w:val="16"/>
          <w:szCs w:val="16"/>
          <w:color w:val="auto"/>
        </w:rPr>
        <w:t>2012 Compensation Awarded to Named Executive Officers. If you are a Class B Shareholder, you are entitled to vote on Proposal 1: Election of Directors.</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Can I change my vote?</w:t>
      </w:r>
    </w:p>
    <w:p>
      <w:pPr>
        <w:spacing w:after="0" w:line="206" w:lineRule="exact"/>
        <w:rPr>
          <w:sz w:val="20"/>
          <w:szCs w:val="20"/>
          <w:color w:val="auto"/>
        </w:rPr>
      </w:pPr>
    </w:p>
    <w:p>
      <w:pPr>
        <w:ind w:left="329" w:hanging="329"/>
        <w:spacing w:after="0"/>
        <w:tabs>
          <w:tab w:leader="none" w:pos="329" w:val="left"/>
        </w:tabs>
        <w:numPr>
          <w:ilvl w:val="0"/>
          <w:numId w:val="9"/>
        </w:numPr>
        <w:rPr>
          <w:rFonts w:ascii="Arial" w:cs="Arial" w:eastAsia="Arial" w:hAnsi="Arial"/>
          <w:sz w:val="17"/>
          <w:szCs w:val="17"/>
          <w:color w:val="auto"/>
        </w:rPr>
      </w:pPr>
      <w:r>
        <w:rPr>
          <w:rFonts w:ascii="Arial" w:cs="Arial" w:eastAsia="Arial" w:hAnsi="Arial"/>
          <w:sz w:val="17"/>
          <w:szCs w:val="17"/>
          <w:color w:val="auto"/>
        </w:rPr>
        <w:t>Yes. You can change your vote or revoke your Proxy at any time before the Meeting by:</w:t>
      </w:r>
    </w:p>
    <w:p>
      <w:pPr>
        <w:spacing w:after="0" w:line="13" w:lineRule="exact"/>
        <w:rPr>
          <w:rFonts w:ascii="Arial" w:cs="Arial" w:eastAsia="Arial" w:hAnsi="Arial"/>
          <w:sz w:val="17"/>
          <w:szCs w:val="17"/>
          <w:color w:val="auto"/>
        </w:rPr>
      </w:pPr>
    </w:p>
    <w:p>
      <w:pPr>
        <w:ind w:left="729" w:hanging="134"/>
        <w:spacing w:after="0"/>
        <w:tabs>
          <w:tab w:leader="none" w:pos="729" w:val="left"/>
        </w:tabs>
        <w:numPr>
          <w:ilvl w:val="1"/>
          <w:numId w:val="9"/>
        </w:numPr>
        <w:rPr>
          <w:rFonts w:ascii="Arial" w:cs="Arial" w:eastAsia="Arial" w:hAnsi="Arial"/>
          <w:sz w:val="17"/>
          <w:szCs w:val="17"/>
          <w:color w:val="auto"/>
        </w:rPr>
      </w:pPr>
      <w:r>
        <w:rPr>
          <w:rFonts w:ascii="Arial" w:cs="Arial" w:eastAsia="Arial" w:hAnsi="Arial"/>
          <w:sz w:val="17"/>
          <w:szCs w:val="17"/>
          <w:color w:val="auto"/>
        </w:rPr>
        <w:t>Entering a new vote by Internet or telephone;</w:t>
      </w:r>
    </w:p>
    <w:p>
      <w:pPr>
        <w:spacing w:after="0" w:line="3" w:lineRule="exact"/>
        <w:rPr>
          <w:rFonts w:ascii="Arial" w:cs="Arial" w:eastAsia="Arial" w:hAnsi="Arial"/>
          <w:sz w:val="17"/>
          <w:szCs w:val="17"/>
          <w:color w:val="auto"/>
        </w:rPr>
      </w:pPr>
    </w:p>
    <w:p>
      <w:pPr>
        <w:ind w:left="729" w:hanging="134"/>
        <w:spacing w:after="0"/>
        <w:tabs>
          <w:tab w:leader="none" w:pos="729" w:val="left"/>
        </w:tabs>
        <w:numPr>
          <w:ilvl w:val="1"/>
          <w:numId w:val="9"/>
        </w:numPr>
        <w:rPr>
          <w:rFonts w:ascii="Arial" w:cs="Arial" w:eastAsia="Arial" w:hAnsi="Arial"/>
          <w:sz w:val="17"/>
          <w:szCs w:val="17"/>
          <w:color w:val="auto"/>
        </w:rPr>
      </w:pPr>
      <w:r>
        <w:rPr>
          <w:rFonts w:ascii="Arial" w:cs="Arial" w:eastAsia="Arial" w:hAnsi="Arial"/>
          <w:sz w:val="17"/>
          <w:szCs w:val="17"/>
          <w:color w:val="auto"/>
        </w:rPr>
        <w:t>Returning a later-dated Proxy card; or</w:t>
      </w:r>
    </w:p>
    <w:p>
      <w:pPr>
        <w:spacing w:after="0" w:line="3" w:lineRule="exact"/>
        <w:rPr>
          <w:rFonts w:ascii="Arial" w:cs="Arial" w:eastAsia="Arial" w:hAnsi="Arial"/>
          <w:sz w:val="17"/>
          <w:szCs w:val="17"/>
          <w:color w:val="auto"/>
        </w:rPr>
      </w:pPr>
    </w:p>
    <w:p>
      <w:pPr>
        <w:ind w:left="729" w:hanging="134"/>
        <w:spacing w:after="0"/>
        <w:tabs>
          <w:tab w:leader="none" w:pos="729" w:val="left"/>
        </w:tabs>
        <w:numPr>
          <w:ilvl w:val="1"/>
          <w:numId w:val="9"/>
        </w:numPr>
        <w:rPr>
          <w:rFonts w:ascii="Arial" w:cs="Arial" w:eastAsia="Arial" w:hAnsi="Arial"/>
          <w:sz w:val="17"/>
          <w:szCs w:val="17"/>
          <w:color w:val="auto"/>
        </w:rPr>
      </w:pPr>
      <w:r>
        <w:rPr>
          <w:rFonts w:ascii="Arial" w:cs="Arial" w:eastAsia="Arial" w:hAnsi="Arial"/>
          <w:sz w:val="17"/>
          <w:szCs w:val="17"/>
          <w:color w:val="auto"/>
        </w:rPr>
        <w:t>Voting in person at the Meeting, provided you first revoke your previously voted Proxy.</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What vote is required to approve a proposal?</w:t>
      </w:r>
    </w:p>
    <w:p>
      <w:pPr>
        <w:spacing w:after="0" w:line="206" w:lineRule="exact"/>
        <w:rPr>
          <w:sz w:val="20"/>
          <w:szCs w:val="20"/>
          <w:color w:val="auto"/>
        </w:rPr>
      </w:pPr>
    </w:p>
    <w:p>
      <w:pPr>
        <w:ind w:left="9" w:hanging="9"/>
        <w:spacing w:after="0" w:line="270" w:lineRule="auto"/>
        <w:tabs>
          <w:tab w:leader="none" w:pos="2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Directors will be elected by a plurality of the votes cast at the Meeting. This means that the seven Class A Shareholder nominees receiving the highest number of and the four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 indicated, although it will be counted for purposes of determining whether a quorum is present at the Meeting.</w:t>
      </w:r>
    </w:p>
    <w:p>
      <w:pPr>
        <w:spacing w:after="0" w:line="165" w:lineRule="exact"/>
        <w:rPr>
          <w:sz w:val="20"/>
          <w:szCs w:val="20"/>
          <w:color w:val="auto"/>
        </w:rPr>
      </w:pPr>
    </w:p>
    <w:p>
      <w:pPr>
        <w:ind w:left="9" w:right="20"/>
        <w:spacing w:after="0" w:line="260" w:lineRule="auto"/>
        <w:rPr>
          <w:sz w:val="20"/>
          <w:szCs w:val="20"/>
          <w:color w:val="auto"/>
        </w:rPr>
      </w:pPr>
      <w:r>
        <w:rPr>
          <w:rFonts w:ascii="Arial" w:cs="Arial" w:eastAsia="Arial" w:hAnsi="Arial"/>
          <w:sz w:val="17"/>
          <w:szCs w:val="17"/>
          <w:color w:val="auto"/>
        </w:rPr>
        <w:t>While the proposal to approve the 2012 compensation awarded to the Company’s named executive officers is non-binding and advisory in nature, it will be approved on the favorable vote of a majority of the Class A Shareholders present or represented at the Meeting.</w:t>
      </w:r>
    </w:p>
    <w:p>
      <w:pPr>
        <w:spacing w:after="0" w:line="172" w:lineRule="exact"/>
        <w:rPr>
          <w:sz w:val="20"/>
          <w:szCs w:val="20"/>
          <w:color w:val="auto"/>
        </w:rPr>
      </w:pPr>
    </w:p>
    <w:p>
      <w:pPr>
        <w:ind w:left="9"/>
        <w:spacing w:after="0" w:line="252" w:lineRule="auto"/>
        <w:rPr>
          <w:sz w:val="20"/>
          <w:szCs w:val="20"/>
          <w:color w:val="auto"/>
        </w:rPr>
      </w:pPr>
      <w:r>
        <w:rPr>
          <w:rFonts w:ascii="Arial" w:cs="Arial" w:eastAsia="Arial" w:hAnsi="Arial"/>
          <w:sz w:val="17"/>
          <w:szCs w:val="17"/>
          <w:color w:val="auto"/>
        </w:rPr>
        <w:t>Broker non-votes will have no impact on the voting results for any of the proposals presented at the Meeting, and abstentions will have the effect of a vote against the proposal to approve the 2012 compensation awarded to the Company’s named executive officers. Broker non-votes and abstentions will be counted for purposes of determining whether a quorum is present.</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Who will count the vote?</w:t>
      </w:r>
    </w:p>
    <w:p>
      <w:pPr>
        <w:spacing w:after="0" w:line="206" w:lineRule="exact"/>
        <w:rPr>
          <w:sz w:val="20"/>
          <w:szCs w:val="20"/>
          <w:color w:val="auto"/>
        </w:rPr>
      </w:pPr>
    </w:p>
    <w:p>
      <w:pPr>
        <w:ind w:left="9" w:right="20" w:hanging="9"/>
        <w:spacing w:after="0" w:line="260" w:lineRule="auto"/>
        <w:tabs>
          <w:tab w:leader="none" w:pos="2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Computershare, the Company’s transfer agent and registrar, will count the vote. One of its representatives will be included among the persons authorized to certif vote.</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Who can attend the Meeting?</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A: All shareholders of record as of the close of business on March 4, 2013, can attend.</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What do I need to do to attend the Meeting?</w:t>
      </w:r>
    </w:p>
    <w:p>
      <w:pPr>
        <w:spacing w:after="0" w:line="206" w:lineRule="exact"/>
        <w:rPr>
          <w:sz w:val="20"/>
          <w:szCs w:val="20"/>
          <w:color w:val="auto"/>
        </w:rPr>
      </w:pPr>
    </w:p>
    <w:p>
      <w:pPr>
        <w:ind w:left="249" w:hanging="249"/>
        <w:spacing w:after="0"/>
        <w:tabs>
          <w:tab w:leader="none" w:pos="2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attend the Meeting, please follow these instructions:</w:t>
      </w:r>
    </w:p>
    <w:p>
      <w:pPr>
        <w:spacing w:after="0" w:line="13" w:lineRule="exact"/>
        <w:rPr>
          <w:rFonts w:ascii="Arial" w:cs="Arial" w:eastAsia="Arial" w:hAnsi="Arial"/>
          <w:sz w:val="17"/>
          <w:szCs w:val="17"/>
          <w:color w:val="auto"/>
        </w:rPr>
      </w:pPr>
    </w:p>
    <w:p>
      <w:pPr>
        <w:ind w:left="729" w:hanging="134"/>
        <w:spacing w:after="0"/>
        <w:tabs>
          <w:tab w:leader="none" w:pos="729" w:val="left"/>
        </w:tabs>
        <w:numPr>
          <w:ilvl w:val="1"/>
          <w:numId w:val="12"/>
        </w:numPr>
        <w:rPr>
          <w:rFonts w:ascii="Arial" w:cs="Arial" w:eastAsia="Arial" w:hAnsi="Arial"/>
          <w:sz w:val="17"/>
          <w:szCs w:val="17"/>
          <w:color w:val="auto"/>
        </w:rPr>
      </w:pPr>
      <w:r>
        <w:rPr>
          <w:rFonts w:ascii="Arial" w:cs="Arial" w:eastAsia="Arial" w:hAnsi="Arial"/>
          <w:sz w:val="17"/>
          <w:szCs w:val="17"/>
          <w:color w:val="auto"/>
        </w:rPr>
        <w:t>If you vote by using the enclosed Proxy card, check the appropriate box on the card.</w:t>
      </w:r>
    </w:p>
    <w:p>
      <w:pPr>
        <w:spacing w:after="0" w:line="3" w:lineRule="exact"/>
        <w:rPr>
          <w:rFonts w:ascii="Arial" w:cs="Arial" w:eastAsia="Arial" w:hAnsi="Arial"/>
          <w:sz w:val="17"/>
          <w:szCs w:val="17"/>
          <w:color w:val="auto"/>
        </w:rPr>
      </w:pPr>
    </w:p>
    <w:p>
      <w:pPr>
        <w:ind w:left="729" w:hanging="134"/>
        <w:spacing w:after="0"/>
        <w:tabs>
          <w:tab w:leader="none" w:pos="729" w:val="left"/>
        </w:tabs>
        <w:numPr>
          <w:ilvl w:val="1"/>
          <w:numId w:val="12"/>
        </w:numPr>
        <w:rPr>
          <w:rFonts w:ascii="Arial" w:cs="Arial" w:eastAsia="Arial" w:hAnsi="Arial"/>
          <w:sz w:val="17"/>
          <w:szCs w:val="17"/>
          <w:color w:val="auto"/>
        </w:rPr>
      </w:pPr>
      <w:r>
        <w:rPr>
          <w:rFonts w:ascii="Arial" w:cs="Arial" w:eastAsia="Arial" w:hAnsi="Arial"/>
          <w:sz w:val="17"/>
          <w:szCs w:val="17"/>
          <w:color w:val="auto"/>
        </w:rPr>
        <w:t>If you vote by Internet or telephone, follow the instructions provided for attendance.</w:t>
      </w:r>
    </w:p>
    <w:p>
      <w:pPr>
        <w:spacing w:after="0" w:line="3" w:lineRule="exact"/>
        <w:rPr>
          <w:rFonts w:ascii="Arial" w:cs="Arial" w:eastAsia="Arial" w:hAnsi="Arial"/>
          <w:sz w:val="17"/>
          <w:szCs w:val="17"/>
          <w:color w:val="auto"/>
        </w:rPr>
      </w:pPr>
    </w:p>
    <w:p>
      <w:pPr>
        <w:ind w:left="729" w:hanging="134"/>
        <w:spacing w:after="0"/>
        <w:tabs>
          <w:tab w:leader="none" w:pos="729" w:val="left"/>
        </w:tabs>
        <w:numPr>
          <w:ilvl w:val="1"/>
          <w:numId w:val="12"/>
        </w:numPr>
        <w:rPr>
          <w:rFonts w:ascii="Arial" w:cs="Arial" w:eastAsia="Arial" w:hAnsi="Arial"/>
          <w:sz w:val="17"/>
          <w:szCs w:val="17"/>
          <w:color w:val="auto"/>
        </w:rPr>
      </w:pPr>
      <w:r>
        <w:rPr>
          <w:rFonts w:ascii="Arial" w:cs="Arial" w:eastAsia="Arial" w:hAnsi="Arial"/>
          <w:sz w:val="17"/>
          <w:szCs w:val="17"/>
          <w:color w:val="auto"/>
        </w:rPr>
        <w:t>If a broker or other nominee holds your shares, bring proof of your ownership with you to the Meeting.</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7"/>
          <w:szCs w:val="17"/>
          <w:color w:val="auto"/>
        </w:rPr>
        <w:t>Seating at the Meeting will be on a first-come, first-served basis upon arrival at the Meeting.</w:t>
      </w:r>
    </w:p>
    <w:p>
      <w:pPr>
        <w:spacing w:after="0" w:line="19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Can I bring a guest?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A: No. The Meeting is for shareholders only.</w:t>
      </w:r>
    </w:p>
    <w:p>
      <w:pPr>
        <w:spacing w:after="0" w:line="2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48" w:right="139" w:bottom="1440" w:gutter="0" w:footer="0" w:header="0"/>
        </w:sectPr>
      </w:pPr>
    </w:p>
    <w:bookmarkStart w:id="5" w:name="page6"/>
    <w:bookmarkEnd w:id="5"/>
    <w:p>
      <w:pPr>
        <w:ind w:left="9"/>
        <w:spacing w:after="0"/>
        <w:rPr>
          <w:sz w:val="20"/>
          <w:szCs w:val="20"/>
          <w:color w:val="auto"/>
        </w:rPr>
      </w:pPr>
      <w:r>
        <w:rPr>
          <w:rFonts w:ascii="Arial" w:cs="Arial" w:eastAsia="Arial" w:hAnsi="Arial"/>
          <w:sz w:val="17"/>
          <w:szCs w:val="17"/>
          <w:b w:val="1"/>
          <w:bCs w:val="1"/>
          <w:color w:val="auto"/>
        </w:rPr>
        <w:t>Q: What is the quorum requirement of the Meeting?</w:t>
      </w:r>
    </w:p>
    <w:p>
      <w:pPr>
        <w:spacing w:after="0" w:line="206" w:lineRule="exact"/>
        <w:rPr>
          <w:sz w:val="20"/>
          <w:szCs w:val="20"/>
          <w:color w:val="auto"/>
        </w:rPr>
      </w:pPr>
    </w:p>
    <w:p>
      <w:pPr>
        <w:jc w:val="both"/>
        <w:ind w:left="9" w:hanging="9"/>
        <w:spacing w:after="0" w:line="310" w:lineRule="auto"/>
        <w:tabs>
          <w:tab w:leader="none" w:pos="2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majority of the outstanding shares on March 4, 2013, constitutes a quorum for voting at the Annual Meeting, except that (i) for purposes of the election of seve Directors by the holders of Class A Common Stock (Proposal 1) and the advisory vote on whether to approve the compensation paid to the named executive officers Company in 2012 (Proposal 2), a quorum requires a majority of the outstanding shares of Class A Common Stock on March 4, 2013, and (ii) for purposes of the elect four Directors by the holders of Class B Common Stock (Proposal 1), a quorum requires a majority of the outstanding shares of Class B Common Stock on March 4, If you vote, your shares will be part of the quorum. Abstentions and broker non-votes will be counted in determining the quorum. On March 4, 2013, there were 1,21 shares of Class A Common Stock and 6,204,349 shares of Class B Common Stock outstanding and entitled to vote.</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Who is soliciting Proxies?</w:t>
      </w:r>
    </w:p>
    <w:p>
      <w:pPr>
        <w:spacing w:after="0" w:line="206" w:lineRule="exact"/>
        <w:rPr>
          <w:sz w:val="20"/>
          <w:szCs w:val="20"/>
          <w:color w:val="auto"/>
        </w:rPr>
      </w:pPr>
    </w:p>
    <w:p>
      <w:pPr>
        <w:jc w:val="both"/>
        <w:ind w:left="9" w:hanging="9"/>
        <w:spacing w:after="0" w:line="249" w:lineRule="auto"/>
        <w:tabs>
          <w:tab w:leader="none" w:pos="257"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Solicitation of Proxies will be made by the Company’s management through the mail, in person, on the Internet or by telephone, without any additional compensa being paid to such members of the Company’s management. The cost of such solicitation will be borne by the Company. In addition, the Company has requested bro and other custodians, nominees and fiduciaries to forward Proxy cards and Proxy soliciting material to shareholders, and the Company will pay their fees and reimbu them for their expenses in so doing.</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When are the shareholder proposals due for the Company’s 2014 Annual Meeting of Shareholders?</w:t>
      </w:r>
    </w:p>
    <w:p>
      <w:pPr>
        <w:spacing w:after="0" w:line="206" w:lineRule="exact"/>
        <w:rPr>
          <w:sz w:val="20"/>
          <w:szCs w:val="20"/>
          <w:color w:val="auto"/>
        </w:rPr>
      </w:pPr>
    </w:p>
    <w:p>
      <w:pPr>
        <w:ind w:left="9" w:hanging="9"/>
        <w:spacing w:after="0" w:line="260" w:lineRule="auto"/>
        <w:tabs>
          <w:tab w:leader="none" w:pos="2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November 27, 2013, and addressed to the Secretary of the Company at 1150 15th Street, NW, Washington, DC 20071.</w:t>
      </w:r>
    </w:p>
    <w:p>
      <w:pPr>
        <w:spacing w:after="0" w:line="172" w:lineRule="exact"/>
        <w:rPr>
          <w:sz w:val="20"/>
          <w:szCs w:val="20"/>
          <w:color w:val="auto"/>
        </w:rPr>
      </w:pPr>
    </w:p>
    <w:p>
      <w:pPr>
        <w:ind w:left="9"/>
        <w:spacing w:after="0" w:line="249" w:lineRule="auto"/>
        <w:rPr>
          <w:sz w:val="20"/>
          <w:szCs w:val="20"/>
          <w:color w:val="auto"/>
        </w:rPr>
      </w:pPr>
      <w:r>
        <w:rPr>
          <w:rFonts w:ascii="Arial" w:cs="Arial" w:eastAsia="Arial" w:hAnsi="Arial"/>
          <w:sz w:val="17"/>
          <w:szCs w:val="17"/>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 with the rules of the Securities and Exchange Commission, proposals submitted on other matters by holders of Class B Stock have not been, and will not be, included Company’s Proxy materials for the Meeting.</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What other information about The Washington Post Company is available?</w:t>
      </w:r>
    </w:p>
    <w:p>
      <w:pPr>
        <w:spacing w:after="0" w:line="206" w:lineRule="exact"/>
        <w:rPr>
          <w:sz w:val="20"/>
          <w:szCs w:val="20"/>
          <w:color w:val="auto"/>
        </w:rPr>
      </w:pPr>
    </w:p>
    <w:p>
      <w:pPr>
        <w:ind w:left="249" w:hanging="249"/>
        <w:spacing w:after="0"/>
        <w:tabs>
          <w:tab w:leader="none" w:pos="2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information is available:</w:t>
      </w:r>
    </w:p>
    <w:p>
      <w:pPr>
        <w:spacing w:after="0" w:line="201" w:lineRule="exact"/>
        <w:rPr>
          <w:rFonts w:ascii="Arial" w:cs="Arial" w:eastAsia="Arial" w:hAnsi="Arial"/>
          <w:sz w:val="17"/>
          <w:szCs w:val="17"/>
          <w:color w:val="auto"/>
        </w:rPr>
      </w:pPr>
    </w:p>
    <w:p>
      <w:pPr>
        <w:jc w:val="both"/>
        <w:ind w:left="589" w:firstLine="6"/>
        <w:spacing w:after="0" w:line="252" w:lineRule="auto"/>
        <w:tabs>
          <w:tab w:leader="none" w:pos="7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Company maintains on its website, www.washpostco.com, copies of the Annual Report on Form 10-K, the Annual Report to Shareholders, the Comp Corporate Governance Guidelines, Statement of Ethical Principles, the Code of Business Conduct, the Audit Committee Charter, the Compensation Commit Charter and other information about the Company.</w:t>
      </w:r>
    </w:p>
    <w:p>
      <w:pPr>
        <w:spacing w:after="0" w:line="178" w:lineRule="exact"/>
        <w:rPr>
          <w:rFonts w:ascii="Arial" w:cs="Arial" w:eastAsia="Arial" w:hAnsi="Arial"/>
          <w:sz w:val="17"/>
          <w:szCs w:val="17"/>
          <w:color w:val="auto"/>
        </w:rPr>
      </w:pPr>
    </w:p>
    <w:p>
      <w:pPr>
        <w:jc w:val="both"/>
        <w:ind w:left="589" w:firstLine="6"/>
        <w:spacing w:after="0" w:line="332" w:lineRule="auto"/>
        <w:tabs>
          <w:tab w:leader="none" w:pos="73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 addition, printed copies of the Company’s Corporate Governance Guidelines, Statement of Ethical Principles, the Code of Business Conduct, the Audit Committee Charter, the Compensation Committee Charter, the Annual Report on Form 10-K and the Annual Report to Shareholders will be furnished witho charge (except exhibits) to any shareholder upon written request addressed to the Treasurer of the Company at 1150 15th Street, NW, Washington, DC 2007</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Q: Can I receive materials relating to the Meeting electronically?</w:t>
      </w:r>
    </w:p>
    <w:p>
      <w:pPr>
        <w:spacing w:after="0" w:line="206" w:lineRule="exact"/>
        <w:rPr>
          <w:sz w:val="20"/>
          <w:szCs w:val="20"/>
          <w:color w:val="auto"/>
        </w:rPr>
      </w:pPr>
    </w:p>
    <w:p>
      <w:pPr>
        <w:ind w:left="9" w:hanging="9"/>
        <w:spacing w:after="0" w:line="248" w:lineRule="auto"/>
        <w:tabs>
          <w:tab w:leader="none" w:pos="25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assist the Company in reducing costs related to the Annual Meeting, shareholders who vote via the Internet may consent to electronic delivery of mailings rela future annual shareholder meetings. The Company also makes its Proxy Statements and Annual Reports available online and may eliminate mailing hard copies of th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42" w:right="139" w:bottom="1440" w:gutter="0" w:footer="0" w:header="0"/>
        </w:sectPr>
      </w:pPr>
    </w:p>
    <w:bookmarkStart w:id="6" w:name="page7"/>
    <w:bookmarkEnd w:id="6"/>
    <w:p>
      <w:pPr>
        <w:ind w:left="4060"/>
        <w:spacing w:after="0"/>
        <w:rPr>
          <w:sz w:val="20"/>
          <w:szCs w:val="20"/>
          <w:color w:val="auto"/>
        </w:rPr>
      </w:pPr>
      <w:r>
        <w:rPr>
          <w:rFonts w:ascii="Arial" w:cs="Arial" w:eastAsia="Arial" w:hAnsi="Arial"/>
          <w:sz w:val="17"/>
          <w:szCs w:val="17"/>
          <w:b w:val="1"/>
          <w:bCs w:val="1"/>
          <w:color w:val="auto"/>
        </w:rPr>
        <w:t>PROPOSAL 1: ELECTION OF DIRECTORS</w:t>
      </w:r>
    </w:p>
    <w:p>
      <w:pPr>
        <w:spacing w:after="0" w:line="20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NOMINEES FOR BOARD OF DIRECTORS</w:t>
      </w:r>
    </w:p>
    <w:p>
      <w:pPr>
        <w:spacing w:after="0" w:line="206" w:lineRule="exact"/>
        <w:rPr>
          <w:sz w:val="20"/>
          <w:szCs w:val="20"/>
          <w:color w:val="auto"/>
        </w:rPr>
      </w:pPr>
    </w:p>
    <w:p>
      <w:pPr>
        <w:jc w:val="both"/>
        <w:ind w:firstLine="709"/>
        <w:spacing w:after="0" w:line="306" w:lineRule="auto"/>
        <w:rPr>
          <w:sz w:val="20"/>
          <w:szCs w:val="20"/>
          <w:color w:val="auto"/>
        </w:rPr>
      </w:pPr>
      <w:r>
        <w:rPr>
          <w:rFonts w:ascii="Arial" w:cs="Arial" w:eastAsia="Arial" w:hAnsi="Arial"/>
          <w:sz w:val="14"/>
          <w:szCs w:val="14"/>
          <w:color w:val="auto"/>
        </w:rPr>
        <w:t>The Company seeks Directors of the highest personal and professional ethics, integrity and business acumen who are committed to representing the long-t interests of the Company’s shareholders. In considering its composition, the Board considers the skills and experience of prospective nominees in the context of the n the Board and seeks Directors who are “independent” under applicable law and listing standards, despite being exempt from such requirement as a “controlled compa The Company’s Corporate Governance Guidelines do not prescribe specific standards regarding the diversity of the Board, but the Board considers as a matter of pra the diversity of prospective nominees (including incumbent Directors), both culturally and in terms of the range of perspectives that the Board as a whole brings to its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 independence, competence, diligence and commitment to the interests of all shareholders to build long-term shareholder value.</w:t>
      </w:r>
    </w:p>
    <w:p>
      <w:pPr>
        <w:spacing w:after="0" w:line="145" w:lineRule="exact"/>
        <w:rPr>
          <w:sz w:val="20"/>
          <w:szCs w:val="20"/>
          <w:color w:val="auto"/>
        </w:rPr>
      </w:pPr>
    </w:p>
    <w:p>
      <w:pPr>
        <w:ind w:firstLine="709"/>
        <w:spacing w:after="0" w:line="306" w:lineRule="auto"/>
        <w:rPr>
          <w:sz w:val="20"/>
          <w:szCs w:val="20"/>
          <w:color w:val="auto"/>
        </w:rPr>
      </w:pPr>
      <w:r>
        <w:rPr>
          <w:rFonts w:ascii="Arial" w:cs="Arial" w:eastAsia="Arial" w:hAnsi="Arial"/>
          <w:sz w:val="14"/>
          <w:szCs w:val="14"/>
          <w:color w:val="auto"/>
        </w:rPr>
        <w:t>The Company is a diversified education and media company serving customers in a rapidly evolving, highly regulated, competitive and technological environment. The Directors’ expertise and experience encompass the areas of education, media, technology, marketing, international business and finance, journalism and public policy. All of the Directors have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biographies highlight specific qualifications, skills and experience of each of the Director nominees.</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NOMINEES FOR ELECTION BY CLASS A SHAREHOLDERS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Lee C. Bollinger</w:t>
      </w:r>
    </w:p>
    <w:p>
      <w:pPr>
        <w:spacing w:after="0" w:line="206" w:lineRule="exact"/>
        <w:rPr>
          <w:sz w:val="20"/>
          <w:szCs w:val="20"/>
          <w:color w:val="auto"/>
        </w:rPr>
      </w:pPr>
    </w:p>
    <w:p>
      <w:pPr>
        <w:jc w:val="both"/>
        <w:ind w:left="1500"/>
        <w:spacing w:after="0" w:line="303" w:lineRule="auto"/>
        <w:rPr>
          <w:sz w:val="20"/>
          <w:szCs w:val="20"/>
          <w:color w:val="auto"/>
        </w:rPr>
      </w:pPr>
      <w:r>
        <w:rPr>
          <w:rFonts w:ascii="Arial" w:cs="Arial" w:eastAsia="Arial" w:hAnsi="Arial"/>
          <w:sz w:val="14"/>
          <w:szCs w:val="14"/>
          <w:color w:val="auto"/>
        </w:rPr>
        <w:t>Mr. Bollinger, age 66, has served as the 19th President of Columbia University since June 2002. Prior to becoming President of Columbia Uni where he also serves as a member of the Law School faculty, Mr. Bollinger served as President of the University of Michigan for five years an Dean of the University of Michigan Law School for seven years. He is a Trustee of the Kresge Foundation and was Chairman of the Board of t Federal Reserve Bank of New York until December 2012. Mr. Bollinger is the recipient of numerous honorary degrees and awards, most notab his national leadership in defending affirmative action, for his service in higher education and for his scholarship and leadership in defense of freedom of speech and press. He has served as a Director of the Company since May 2007 and is a member of the Compensation Committee o Board. Mr. Bollinger’s experience in higher education and at a variety of educational institutions facing differing challenges and opportunities particular relevance to the Company’s higher education business segment and other education-related initiatives, but also reflects his commitm principles — notably freedom of speech and press — that are the foundation of the Company’s businesses. In his former role as a Director of t Federal Reserve Bank of New York, Mr. Bollinger gained experience in financial matters, particularly those affecting national economies and financial and market systems.</w:t>
      </w:r>
    </w:p>
    <w:p>
      <w:pPr>
        <w:spacing w:after="0" w:line="346"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Barry Diller</w:t>
      </w:r>
    </w:p>
    <w:p>
      <w:pPr>
        <w:spacing w:after="0" w:line="206" w:lineRule="exact"/>
        <w:rPr>
          <w:sz w:val="20"/>
          <w:szCs w:val="20"/>
          <w:color w:val="auto"/>
        </w:rPr>
      </w:pPr>
    </w:p>
    <w:p>
      <w:pPr>
        <w:ind w:left="1500"/>
        <w:spacing w:after="0" w:line="263" w:lineRule="auto"/>
        <w:rPr>
          <w:sz w:val="20"/>
          <w:szCs w:val="20"/>
          <w:color w:val="auto"/>
        </w:rPr>
      </w:pPr>
      <w:r>
        <w:rPr>
          <w:rFonts w:ascii="Arial" w:cs="Arial" w:eastAsia="Arial" w:hAnsi="Arial"/>
          <w:sz w:val="16"/>
          <w:szCs w:val="16"/>
          <w:color w:val="auto"/>
        </w:rPr>
        <w:t>Mr. Diller, age 71, has served as Chairman and Senior Executive of IAC/InterActiveCorp, an interactive commerce company, since December Chairman and Senior Executive of Expedia, Inc., an online travel company, since August 2005; and Chairman and Senior Executive of TripAd Inc., an online travel site, since December 2011. He has served as a Director of the Company since September 2000 and is a member of the Fin Executive and Compensation Committees of the Board. Prior to his service at IAC/InterActiveCorp (and its predecessor companies), which commenced in August 1995, Mr. Diller was Chairman of the Board and Chief Executive Officer of QVC, Inc. from December 1992 through December 1994. From October 1984 to April 1992, Mr. Diller served as Chairman of the Board and Chief Executive Officer of Fox, Inc. and responsible for the creation of Fox Broadcasting Company, in addition to Fox’s motion picture operations. Prior to joining Fox, Inc., he served years as</w:t>
      </w:r>
    </w:p>
    <w:p>
      <w:pPr>
        <w:jc w:val="center"/>
        <w:ind w:left="1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4" w:right="139" w:bottom="1440" w:gutter="0" w:footer="0" w:header="0"/>
        </w:sectPr>
      </w:pPr>
    </w:p>
    <w:bookmarkStart w:id="7" w:name="page8"/>
    <w:bookmarkEnd w:id="7"/>
    <w:p>
      <w:pPr>
        <w:ind w:left="880"/>
        <w:spacing w:after="0" w:line="302" w:lineRule="auto"/>
        <w:rPr>
          <w:sz w:val="20"/>
          <w:szCs w:val="20"/>
          <w:color w:val="auto"/>
        </w:rPr>
      </w:pPr>
      <w:r>
        <w:rPr>
          <w:rFonts w:ascii="Arial" w:cs="Arial" w:eastAsia="Arial" w:hAnsi="Arial"/>
          <w:sz w:val="14"/>
          <w:szCs w:val="14"/>
          <w:color w:val="auto"/>
        </w:rPr>
        <w:t>Chairman of the Board and Chief Executive Officer of Paramount Pictures Corporation. Mr. Diller previously served as Chairman and Chief Executive Officer of IAC/InterActiveCorp (and its predecessor companies) from August 1995 through December 1, 2010. Mr. Diller also prev served as the non-executive Chairman of the Board of Ticketmaster Entertainment, Inc. from August 2008 through January 2010 and as non-executive Chairman of the Board of Live Nation Entertainment from January 2010 through October 2010 and remained a member of the Boar Live Nation Entertainment through January 2011. He is President and a Director of The Diller-von Furstenberg Family Foundation, and a Dire The Coca-Cola Company and The Newsweek/Daily Beast Company LLC. He also is a member of the Board of Trustees of New York Univers member of the Board of Councilors of the University of Southern California’s School of Cinema-Television and a member of the Council on F Relations.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 Company’s outlook and plans. Based on his service as a Director of other public companies, Mr. Diller also has experience in governance matt affecting organizations of comparable size and scope as the Company.</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David Goldberg</w:t>
      </w:r>
    </w:p>
    <w:p>
      <w:pPr>
        <w:spacing w:after="0" w:line="206" w:lineRule="exact"/>
        <w:rPr>
          <w:sz w:val="20"/>
          <w:szCs w:val="20"/>
          <w:color w:val="auto"/>
        </w:rPr>
      </w:pPr>
    </w:p>
    <w:p>
      <w:pPr>
        <w:jc w:val="both"/>
        <w:ind w:left="860"/>
        <w:spacing w:after="0" w:line="301" w:lineRule="auto"/>
        <w:rPr>
          <w:sz w:val="20"/>
          <w:szCs w:val="20"/>
          <w:color w:val="auto"/>
        </w:rPr>
      </w:pPr>
      <w:r>
        <w:rPr>
          <w:rFonts w:ascii="Arial" w:cs="Arial" w:eastAsia="Arial" w:hAnsi="Arial"/>
          <w:sz w:val="14"/>
          <w:szCs w:val="14"/>
          <w:color w:val="auto"/>
        </w:rPr>
        <w:t>Mr. Goldberg, age 45, has served as Chief Executive Officer of SurveyMonkey, an online survey company, since April 2009. He was elected a Director of the Company in September 2012 and is a member of the Finance Committee. Mr. Goldberg founded LAUNCH Media, Inc. in 1994 company dedicated to delivering music and music-related content online, and he led the company through its acquisition by Yahoo! in 2001.</w:t>
      </w:r>
    </w:p>
    <w:p>
      <w:pPr>
        <w:spacing w:after="0" w:line="1" w:lineRule="exact"/>
        <w:rPr>
          <w:sz w:val="20"/>
          <w:szCs w:val="20"/>
          <w:color w:val="auto"/>
        </w:rPr>
      </w:pPr>
    </w:p>
    <w:p>
      <w:pPr>
        <w:ind w:left="860"/>
        <w:spacing w:after="0" w:line="295" w:lineRule="auto"/>
        <w:rPr>
          <w:sz w:val="20"/>
          <w:szCs w:val="20"/>
          <w:color w:val="auto"/>
        </w:rPr>
      </w:pPr>
      <w:r>
        <w:rPr>
          <w:rFonts w:ascii="Arial" w:cs="Arial" w:eastAsia="Arial" w:hAnsi="Arial"/>
          <w:sz w:val="14"/>
          <w:szCs w:val="14"/>
          <w:color w:val="auto"/>
        </w:rPr>
        <w:t>Following the sale, Mr. Goldberg served as Vice President and General Manager of Yahoo! Music until 2007. From 2007 until he joined SurveyMonkey in 2009, Mr. Goldberg served as an Entrepreneur in Residence with Benchmark Capital, where he evaluated investment opport for the firm and advised portfolio companies. Earlier in his career, Mr. Goldberg was Director of Marketing Strategy and New Business Develo at Capitol Records. He currently serves on the board of directors of several private companies, including ancestry.com and Dashbox. Mr. Gold also a trustee of the New Schools Venture Fund, an Oakland, California non-profit helping to build high-quality education organizations.</w:t>
      </w:r>
    </w:p>
    <w:p>
      <w:pPr>
        <w:spacing w:after="0" w:line="3" w:lineRule="exact"/>
        <w:rPr>
          <w:sz w:val="20"/>
          <w:szCs w:val="20"/>
          <w:color w:val="auto"/>
        </w:rPr>
      </w:pPr>
    </w:p>
    <w:p>
      <w:pPr>
        <w:ind w:left="860" w:right="100"/>
        <w:spacing w:after="0" w:line="295" w:lineRule="auto"/>
        <w:rPr>
          <w:sz w:val="20"/>
          <w:szCs w:val="20"/>
          <w:color w:val="auto"/>
        </w:rPr>
      </w:pPr>
      <w:r>
        <w:rPr>
          <w:rFonts w:ascii="Arial" w:cs="Arial" w:eastAsia="Arial" w:hAnsi="Arial"/>
          <w:sz w:val="14"/>
          <w:szCs w:val="14"/>
          <w:color w:val="auto"/>
        </w:rPr>
        <w:t>Mr. Goldberg’s significant experience and leadership roles in the media and Internet sectors, including his experience with the challenges and opportunities associated with the digital evolution of the music industry, are of particular relevance to the Company’s business strategy.</w:t>
      </w:r>
    </w:p>
    <w:p>
      <w:pPr>
        <w:spacing w:after="0" w:line="1" w:lineRule="exact"/>
        <w:rPr>
          <w:sz w:val="20"/>
          <w:szCs w:val="20"/>
          <w:color w:val="auto"/>
        </w:rPr>
      </w:pPr>
    </w:p>
    <w:p>
      <w:pPr>
        <w:ind w:left="860" w:right="100"/>
        <w:spacing w:after="0" w:line="278" w:lineRule="auto"/>
        <w:rPr>
          <w:sz w:val="20"/>
          <w:szCs w:val="20"/>
          <w:color w:val="auto"/>
        </w:rPr>
      </w:pPr>
      <w:r>
        <w:rPr>
          <w:rFonts w:ascii="Arial" w:cs="Arial" w:eastAsia="Arial" w:hAnsi="Arial"/>
          <w:sz w:val="16"/>
          <w:szCs w:val="16"/>
          <w:color w:val="auto"/>
        </w:rPr>
        <w:t>Mr. Goldberg’s experience in the technology sector, his role as a Director for a non-profit education organization, as well as his years spent in entrepreneurial roles, brings a vital perspective to the Board’s deliberations about the Company’s outlook and plans.</w:t>
      </w:r>
    </w:p>
    <w:p>
      <w:pPr>
        <w:spacing w:after="0" w:line="15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Donald E. Graham</w:t>
      </w:r>
    </w:p>
    <w:p>
      <w:pPr>
        <w:spacing w:after="0" w:line="206" w:lineRule="exact"/>
        <w:rPr>
          <w:sz w:val="20"/>
          <w:szCs w:val="20"/>
          <w:color w:val="auto"/>
        </w:rPr>
      </w:pPr>
    </w:p>
    <w:p>
      <w:pPr>
        <w:ind w:left="880"/>
        <w:spacing w:after="0" w:line="298" w:lineRule="auto"/>
        <w:rPr>
          <w:sz w:val="20"/>
          <w:szCs w:val="20"/>
          <w:color w:val="auto"/>
        </w:rPr>
      </w:pPr>
      <w:r>
        <w:rPr>
          <w:rFonts w:ascii="Arial" w:cs="Arial" w:eastAsia="Arial" w:hAnsi="Arial"/>
          <w:sz w:val="14"/>
          <w:szCs w:val="14"/>
          <w:color w:val="auto"/>
        </w:rPr>
        <w:t>Mr. Graham, age 67, has served as Chairman of the Board of the Company since September 1993 and Chief Executive Officer of the Company May 1991. Mr. Graham served as President of the Company between May 1991 and September 1993. He also was Publisher of The Washingto for 21 years, a position he held between 1979 and 2000. Mr. Graham has been a Director of the Company since 1974 and is Chairman of the Executive Committee and a member of the Finance Committee of the Board. By virtue of his ownership of 60.1% of the outstanding Class A S of the Company and his right to control the vote as a trustee of certain family trusts of an additional 26.5% of such stock, Mr. Graham effectiv votes a total of 86.6% of the Class A shares. Mr. Graham has been a Director of Facebook, Inc. since December 2008, where he is Chairman o Governance Committee and serves on the Compensation Committee. Mr. Graham is a Trustee of the Federal City Council, the College Succes Foundation, the Philip L. Graham Fund, the Summit Fund of Washington and KIPP-DC. He serves as Chairman of the Board and as a Director DC College Access Program. As a result of his substantial and long-standing shareholdings in the Company and his tenure in various executiv at the Company, Mr. Graham provides a unique perspective to the Board about the strategic and operational opportunities and challenges, econ and industry trends, and competitive and financial positioning of the Company and its businesses, as well as the Company’s historic role in journalistic enterprise and the promotion of the core values of freedom of the press and journalistic integrity. Mr. Graham is an uncle of the Pu of The Washington Post and Chief Executive of Washington Post Media, Katharine Weymouth, who also serves as a member of the Board.</w:t>
      </w:r>
    </w:p>
    <w:p>
      <w:pPr>
        <w:spacing w:after="0" w:line="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196850</wp:posOffset>
            </wp:positionV>
            <wp:extent cx="727837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320"/>
          </w:cols>
          <w:pgMar w:left="1440" w:top="748" w:right="139" w:bottom="1440" w:gutter="0" w:footer="0" w:header="0"/>
        </w:sectPr>
      </w:pPr>
    </w:p>
    <w:bookmarkStart w:id="8" w:name="page9"/>
    <w:bookmarkEnd w:id="8"/>
    <w:p>
      <w:pPr>
        <w:ind w:left="80"/>
        <w:spacing w:after="0"/>
        <w:rPr>
          <w:sz w:val="20"/>
          <w:szCs w:val="20"/>
          <w:color w:val="auto"/>
        </w:rPr>
      </w:pPr>
      <w:r>
        <w:rPr>
          <w:rFonts w:ascii="Arial" w:cs="Arial" w:eastAsia="Arial" w:hAnsi="Arial"/>
          <w:sz w:val="17"/>
          <w:szCs w:val="17"/>
          <w:b w:val="1"/>
          <w:bCs w:val="1"/>
          <w:color w:val="auto"/>
        </w:rPr>
        <w:t>Ronald L. Olson</w:t>
      </w:r>
    </w:p>
    <w:p>
      <w:pPr>
        <w:spacing w:after="0" w:line="206" w:lineRule="exact"/>
        <w:rPr>
          <w:sz w:val="20"/>
          <w:szCs w:val="20"/>
          <w:color w:val="auto"/>
        </w:rPr>
      </w:pPr>
    </w:p>
    <w:p>
      <w:pPr>
        <w:ind w:left="880"/>
        <w:spacing w:after="0" w:line="305" w:lineRule="auto"/>
        <w:rPr>
          <w:sz w:val="20"/>
          <w:szCs w:val="20"/>
          <w:color w:val="auto"/>
        </w:rPr>
      </w:pPr>
      <w:r>
        <w:rPr>
          <w:rFonts w:ascii="Arial" w:cs="Arial" w:eastAsia="Arial" w:hAnsi="Arial"/>
          <w:sz w:val="14"/>
          <w:szCs w:val="14"/>
          <w:color w:val="auto"/>
        </w:rPr>
        <w:t>Mr. Olson, age 71, has been a partner since 1970 in the law firm of Munger, Tolles &amp; Olson LLP, which is one of several law firms that were r by a subsidiary of the Company in 2012 and which may again be retained in 2013. He has served as a Director of the Company since Septemb 2003 and serves on the Executive Committee. Mr. Olson is a Director of Berkshire Hathaway Inc., Edison International and City National Corporation, and is a Trustee of Western Asset Funds. He is a Director and serves on the Audit Committee of the non-profit RAND Corporatio is a Director of a number of other non-profit organizations, including the California Institute of Technology, the Mayo Clinic and ProPublica. partner of a major law firm specializing in corporate and financial matters, Mr. Olson has significant experience in financial, transactional, litig and compliance matters involving public companies in the United States, as well as public policy challenges facing companies with global operations. As a Director of other public companies and as an advisor to public company boards of directors, Mr. Olson also has experience in governance matters affecting organizations of comparable size and scope as the Company.</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 Richard Wagoner, Jr.</w:t>
      </w:r>
    </w:p>
    <w:p>
      <w:pPr>
        <w:spacing w:after="0" w:line="206" w:lineRule="exact"/>
        <w:rPr>
          <w:sz w:val="20"/>
          <w:szCs w:val="20"/>
          <w:color w:val="auto"/>
        </w:rPr>
      </w:pPr>
    </w:p>
    <w:p>
      <w:pPr>
        <w:ind w:left="880"/>
        <w:spacing w:after="0" w:line="302" w:lineRule="auto"/>
        <w:rPr>
          <w:sz w:val="20"/>
          <w:szCs w:val="20"/>
          <w:color w:val="auto"/>
        </w:rPr>
      </w:pPr>
      <w:r>
        <w:rPr>
          <w:rFonts w:ascii="Arial" w:cs="Arial" w:eastAsia="Arial" w:hAnsi="Arial"/>
          <w:sz w:val="14"/>
          <w:szCs w:val="14"/>
          <w:color w:val="auto"/>
        </w:rPr>
        <w:t>Mr. Wagoner, age 60, retired from General Motors Corporation (“GM”) in August 2009 after a 32-year career. He has served as a Director of t Company since June 2010 and is a member of the Audit Committee. Mr. Wagoner served as Chairman and Chief Executive Officer of GM fro 2003 through March 2009 and had been President and Chief Executive Officer since June 2000. Other positions he held at GM include Execut Vice President and President of North American Operations, Executive Vice President, Chief Financial Officer and Head of Worldwide Purcha and President and Managing Director of General Motors do Brasil. On June 1, 2009, GM and its affiliates filed voluntary petitions in the Unite States Bankruptcy Court for the Southern District of New York, seeking relief under Chapter 11 of the U.S. Bankruptcy Code. Mr. Wagoner w an Executive Officer or Director of GM at the time of that filing. Mr. Wagoner is a member of the Board of Directors of Aleris International, I Rivian Automotive. In addition, he is a member of the Global Advisory Board of AEA Investors and he advises a number of start-up and early ventures. Mr. Wagoner is Chair of the Board of Trustees of Duke University and a member of Duke’s Fuqua School of Business Advisory Boa is a member of the Mayor of Shanghai, China’s International Business Leaders Advisory Council. Through his leadership roles at GM and oth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34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Katharine Weymouth</w:t>
      </w:r>
    </w:p>
    <w:p>
      <w:pPr>
        <w:spacing w:after="0" w:line="206" w:lineRule="exact"/>
        <w:rPr>
          <w:sz w:val="20"/>
          <w:szCs w:val="20"/>
          <w:color w:val="auto"/>
        </w:rPr>
      </w:pPr>
    </w:p>
    <w:p>
      <w:pPr>
        <w:ind w:left="880"/>
        <w:spacing w:after="0" w:line="304" w:lineRule="auto"/>
        <w:rPr>
          <w:sz w:val="20"/>
          <w:szCs w:val="20"/>
          <w:color w:val="auto"/>
        </w:rPr>
      </w:pPr>
      <w:r>
        <w:rPr>
          <w:rFonts w:ascii="Arial" w:cs="Arial" w:eastAsia="Arial" w:hAnsi="Arial"/>
          <w:sz w:val="14"/>
          <w:szCs w:val="14"/>
          <w:color w:val="auto"/>
        </w:rPr>
        <w:t>Ms. Weymouth, age 46, is Chief Executive Officer of Washington Post Media, a unit of the Company that includes The Washington Post, Expr and El Tiempo Latino, and Publisher of The Washington Post. She was named to both positions in February 2008. Ms. Weymouth became a D of the Company in September 2010 and she currently serves on the Finance Committee of the Board. She joined the Company in 1996 as Assi General Counsel of The Washington Post and has held various positions over the past sixteen years. Ms. Weymouth has held several positions The Washington Post’s advertising department, including Director of the department’s jobs unit, Director of Advertising Sales and Vice Presid Advertising. She also served as Associate Counsel of Washingtonpost.Newsweek Interactive, then the online publishing subsidiary of The Washington Post Company. She serves as a Director of The Associated Press and NewsRight. Ms. Weymouth’s various roles within the Comp give her extensive background in the media business in both operational and oversight roles, and her current position gives her an important perspective on the Company’s commitment to quality journalism and overall media strategy. Ms. Weymouth is a niece of the Chairman of the and Chief Executive Officer of the Company, Mr. Graham.</w:t>
      </w:r>
    </w:p>
    <w:p>
      <w:pPr>
        <w:spacing w:after="0" w:line="345"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NOMINEES FOR ELECTION BY CLASS B SHAREHOLDERS</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Christopher C. Davis</w:t>
      </w:r>
    </w:p>
    <w:p>
      <w:pPr>
        <w:spacing w:after="0" w:line="206" w:lineRule="exact"/>
        <w:rPr>
          <w:sz w:val="20"/>
          <w:szCs w:val="20"/>
          <w:color w:val="auto"/>
        </w:rPr>
      </w:pPr>
    </w:p>
    <w:p>
      <w:pPr>
        <w:jc w:val="both"/>
        <w:ind w:left="880" w:right="20"/>
        <w:spacing w:after="0" w:line="249" w:lineRule="auto"/>
        <w:rPr>
          <w:sz w:val="20"/>
          <w:szCs w:val="20"/>
          <w:color w:val="auto"/>
        </w:rPr>
      </w:pPr>
      <w:r>
        <w:rPr>
          <w:rFonts w:ascii="Arial" w:cs="Arial" w:eastAsia="Arial" w:hAnsi="Arial"/>
          <w:sz w:val="17"/>
          <w:szCs w:val="17"/>
          <w:color w:val="auto"/>
        </w:rPr>
        <w:t>Mr. Davis, age 47, has served as Chairman of Davis Selected Advisers, Inc., an investment counseling firm since 1998. He has served as a Dir of the Company since January 2006 and is a member of the Audit, Finance and Executive Committees of the Board. Mr. Davis became lead D in May 2011. Mr. Davis is also a Director and officer of a number of mutual funds advised by Davis Selected Advisers, L.P., as well as other e controlled by</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196850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320"/>
          </w:cols>
          <w:pgMar w:left="1440" w:top="942" w:right="139" w:bottom="1440" w:gutter="0" w:footer="0" w:header="0"/>
        </w:sectPr>
      </w:pPr>
    </w:p>
    <w:bookmarkStart w:id="9" w:name="page10"/>
    <w:bookmarkEnd w:id="9"/>
    <w:p>
      <w:pPr>
        <w:jc w:val="both"/>
        <w:ind w:left="880"/>
        <w:spacing w:after="0" w:line="248" w:lineRule="auto"/>
        <w:rPr>
          <w:sz w:val="20"/>
          <w:szCs w:val="20"/>
          <w:color w:val="auto"/>
        </w:rPr>
      </w:pPr>
      <w:r>
        <w:rPr>
          <w:rFonts w:ascii="Arial" w:cs="Arial" w:eastAsia="Arial" w:hAnsi="Arial"/>
          <w:sz w:val="17"/>
          <w:szCs w:val="17"/>
          <w:color w:val="auto"/>
        </w:rPr>
        <w:t>Davis Selected Advisers, L.P. Mr. Davis is a Director of the Hudson Highland Land Trust and a Trustee of the American Museum of Natural H and the Shelby Cullom Davis Charitable Fund. Mr. Davis brings financial and investment experience to the work of the Board, including parti experience in evaluating strategic opportunities, transactions and investments. Mr. Davis also has experience in public company financial repo accounting and compliance matters, as well as significant leadership and institutional organizational experience from his service on the boards several nonprofit organizations.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Thomas S. Gayner</w:t>
      </w:r>
    </w:p>
    <w:p>
      <w:pPr>
        <w:spacing w:after="0" w:line="206" w:lineRule="exact"/>
        <w:rPr>
          <w:sz w:val="20"/>
          <w:szCs w:val="20"/>
          <w:color w:val="auto"/>
        </w:rPr>
      </w:pPr>
    </w:p>
    <w:p>
      <w:pPr>
        <w:jc w:val="both"/>
        <w:ind w:left="880"/>
        <w:spacing w:after="0" w:line="305" w:lineRule="auto"/>
        <w:rPr>
          <w:sz w:val="20"/>
          <w:szCs w:val="20"/>
          <w:color w:val="auto"/>
        </w:rPr>
      </w:pPr>
      <w:r>
        <w:rPr>
          <w:rFonts w:ascii="Arial" w:cs="Arial" w:eastAsia="Arial" w:hAnsi="Arial"/>
          <w:sz w:val="14"/>
          <w:szCs w:val="14"/>
          <w:color w:val="auto"/>
        </w:rPr>
        <w:t>Mr. Gayner, age 51, has served as President and Chief Investment Officer of Markel Corporation, a publicly traded financial holding company headquartered in Glen Allen, Virginia, since May 2010. Mr. Gayner has served as a Director of the Company since January 2007 and is Chairm the Audit Committee and a member of the Finance Committee. Since 1990, he has served as President of Markel Gayner Asset Management; served as a Director of Markel Corporation from 1998 to 2003. Previously, he was a certified public accountant at PricewaterhouseCoopers LL a Vice President of Davenport &amp; Company of Virginia. Mr. Gayner serves on the Board of Directors of Colfax Corporation, The Davis Series Funds and the Community Foundation of Richmond. Mr. Gayner brings to the Board the leadership, management oversight and financial skill gained in his role as a senior manager and Director of Markel Corporation. Through his educational background and experience as a senior off an asset management firm, Mr. Gayner has significant experience in public company financial reporting, accounting and financial control matt well as experience in the analysis of strategic investment opportunities.</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Anne M. Mulcahy</w:t>
      </w:r>
    </w:p>
    <w:p>
      <w:pPr>
        <w:spacing w:after="0" w:line="206" w:lineRule="exact"/>
        <w:rPr>
          <w:sz w:val="20"/>
          <w:szCs w:val="20"/>
          <w:color w:val="auto"/>
        </w:rPr>
      </w:pPr>
    </w:p>
    <w:p>
      <w:pPr>
        <w:ind w:left="880"/>
        <w:spacing w:after="0" w:line="303" w:lineRule="auto"/>
        <w:rPr>
          <w:sz w:val="20"/>
          <w:szCs w:val="20"/>
          <w:color w:val="auto"/>
        </w:rPr>
      </w:pPr>
      <w:r>
        <w:rPr>
          <w:rFonts w:ascii="Arial" w:cs="Arial" w:eastAsia="Arial" w:hAnsi="Arial"/>
          <w:sz w:val="14"/>
          <w:szCs w:val="14"/>
          <w:color w:val="auto"/>
        </w:rPr>
        <w:t>Mrs. Mulcahy, age 60, served as Chairman of the Board of Xerox Corporation from 2002 until 2010 and served as Chief Executive Officer fro 2001 through June 2009. From May 2000 through July 2001, she was President and Chief Operating Officer of Xerox. Mrs. Mulcahy has serv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 Director of Target Corporation, Johnson &amp; Johnson and the non-profit organization Save the Children, where she serves as Board Chairman. Mrs. Mulcahy was a Director of Citigroup, Inc. until May 2010. As a result of the various leadership roles in which she has served at Xerox Corporation, Mrs. Mulcahy has experience in the core management skills relevant to a global branded organization, including matters relating strategic oversight and execution. Her experience in compensation, benefits, human resource strategy and management development provides important perspective to the Board’s deliberations about those matters, particularly given the significant size of the Company’s workforce. As Director of other public companies, Mrs. Mulcahy also has experience in governance matters affecting organizations of comparable size and s the Company.</w:t>
      </w:r>
    </w:p>
    <w:p>
      <w:pPr>
        <w:spacing w:after="0" w:line="3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Larry D. Thompson</w:t>
      </w:r>
    </w:p>
    <w:p>
      <w:pPr>
        <w:spacing w:after="0" w:line="206" w:lineRule="exact"/>
        <w:rPr>
          <w:sz w:val="20"/>
          <w:szCs w:val="20"/>
          <w:color w:val="auto"/>
        </w:rPr>
      </w:pPr>
    </w:p>
    <w:p>
      <w:pPr>
        <w:jc w:val="both"/>
        <w:ind w:left="880"/>
        <w:spacing w:after="0" w:line="298" w:lineRule="auto"/>
        <w:rPr>
          <w:sz w:val="20"/>
          <w:szCs w:val="20"/>
          <w:color w:val="auto"/>
        </w:rPr>
      </w:pPr>
      <w:r>
        <w:rPr>
          <w:rFonts w:ascii="Arial" w:cs="Arial" w:eastAsia="Arial" w:hAnsi="Arial"/>
          <w:sz w:val="14"/>
          <w:szCs w:val="14"/>
          <w:color w:val="auto"/>
        </w:rPr>
        <w:t>Mr. Thompson, age 67, has served as Executive Vice President, Government Affairs, General Counsel and Corporate Secretary of PepsiCo, In global food and beverage company, since June 2012. From October 2004 to May 2011, when he retired from the position, Mr. Thompson serv Senior Vice President, Government Affairs, General Counsel and Corporate Secretary of PepsiCo, Inc. Mr. Thompson has served as a Directo Company since June 2011 and is a member of the Compensation Committee. Mr. Thompson serves as a Trustee of The Brookings Institution a Director of the National Center for State Courts and various Franklin, Templeton and Mutual Series Funds, and is Honorary Chairman of the G Justice Project. His government career included serving in the U.S. Department of Justice as Deputy Attorney General and leading the Depart National Security Coordination Council. In 2002, President George W. Bush named Mr. Thompson to head the Corporate Fraud Task Force.</w:t>
      </w:r>
    </w:p>
    <w:p>
      <w:pPr>
        <w:spacing w:after="0" w:line="1" w:lineRule="exact"/>
        <w:rPr>
          <w:sz w:val="20"/>
          <w:szCs w:val="20"/>
          <w:color w:val="auto"/>
        </w:rPr>
      </w:pPr>
    </w:p>
    <w:p>
      <w:pPr>
        <w:ind w:left="880"/>
        <w:spacing w:after="0" w:line="261" w:lineRule="auto"/>
        <w:rPr>
          <w:sz w:val="20"/>
          <w:szCs w:val="20"/>
          <w:color w:val="auto"/>
        </w:rPr>
      </w:pPr>
      <w:r>
        <w:rPr>
          <w:rFonts w:ascii="Arial" w:cs="Arial" w:eastAsia="Arial" w:hAnsi="Arial"/>
          <w:sz w:val="16"/>
          <w:szCs w:val="16"/>
          <w:color w:val="auto"/>
        </w:rPr>
        <w:t>Previously, Mr. Thompson had been a partner in the Atlanta law firm of King &amp; Spalding, where he practiced in the antitrust and litigation departments. He served as the U.S. Attorney for the Northern District of Georgia and was later appointed Independent Counsel for the Depart Housing and Urban Development Investigation by the Special Panel of the U.S. Circuit Court Judges appointed by the U.S. Supreme Court. H elected Fellow of the American Board of Criminal Lawyers. Mr. Thompson is a recipient of the Edmund Jennings Randolph Award for outstan contributions to the accomplishment of the Department of Justice’s mission, the Outstanding Litigator Award by the Federal Bar Association a A. T. Walden Award for outstanding accomplishments to the legal profession by the Gate City Bar Association in Atlanta. Through his previou in the U.S. Department of Justice and at PepsiCo, Mr. Thompson brings to the Board extensive legal experience in both a governmental and corporate setting. As a</w:t>
      </w:r>
    </w:p>
    <w:p>
      <w:pPr>
        <w:spacing w:after="0" w:line="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196850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320"/>
          </w:cols>
          <w:pgMar w:left="1440" w:top="748" w:right="139" w:bottom="1440" w:gutter="0" w:footer="0" w:header="0"/>
        </w:sectPr>
      </w:pPr>
    </w:p>
    <w:bookmarkStart w:id="10" w:name="page11"/>
    <w:bookmarkEnd w:id="10"/>
    <w:p>
      <w:pPr>
        <w:ind w:left="1509"/>
        <w:spacing w:after="0"/>
        <w:rPr>
          <w:sz w:val="20"/>
          <w:szCs w:val="20"/>
          <w:color w:val="auto"/>
        </w:rPr>
      </w:pPr>
      <w:r>
        <w:rPr>
          <w:rFonts w:ascii="Arial" w:cs="Arial" w:eastAsia="Arial" w:hAnsi="Arial"/>
          <w:sz w:val="16"/>
          <w:szCs w:val="16"/>
          <w:color w:val="auto"/>
        </w:rPr>
        <w:t>Director of other public companies, he also has significant experience with corporate governance matters and reporting obligations.</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THE BOARD OF DIRECTORS RECOMMENDS A VOTE “FOR” THE ELECTION OF EACH OF THE NOMINATED DIRECTORS.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Board Committees</w:t>
      </w:r>
    </w:p>
    <w:p>
      <w:pPr>
        <w:spacing w:after="0" w:line="20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The standing committees of the Board include the Audit Committee, Compensation Committee, Finance Committee and Executive Committee.</w:t>
      </w:r>
    </w:p>
    <w:p>
      <w:pPr>
        <w:spacing w:after="0" w:line="213" w:lineRule="exact"/>
        <w:rPr>
          <w:sz w:val="20"/>
          <w:szCs w:val="20"/>
          <w:color w:val="auto"/>
        </w:rPr>
      </w:pPr>
    </w:p>
    <w:p>
      <w:pPr>
        <w:ind w:left="9" w:firstLine="670"/>
        <w:spacing w:after="0" w:line="249" w:lineRule="auto"/>
        <w:rPr>
          <w:sz w:val="20"/>
          <w:szCs w:val="20"/>
          <w:color w:val="auto"/>
        </w:rPr>
      </w:pPr>
      <w:r>
        <w:rPr>
          <w:rFonts w:ascii="Arial" w:cs="Arial" w:eastAsia="Arial" w:hAnsi="Arial"/>
          <w:sz w:val="17"/>
          <w:szCs w:val="17"/>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 the services of any third party to assist in identifying and evaluating nominees. Mr. Goldberg was elected to the Board in September 2012. He was recommended by o the Directors of the Company.</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Audit Committee</w:t>
      </w:r>
    </w:p>
    <w:p>
      <w:pPr>
        <w:spacing w:after="0" w:line="202" w:lineRule="exact"/>
        <w:rPr>
          <w:sz w:val="20"/>
          <w:szCs w:val="20"/>
          <w:color w:val="auto"/>
        </w:rPr>
      </w:pPr>
    </w:p>
    <w:p>
      <w:pPr>
        <w:jc w:val="both"/>
        <w:ind w:left="9" w:firstLine="670"/>
        <w:spacing w:after="0" w:line="301" w:lineRule="auto"/>
        <w:rPr>
          <w:sz w:val="20"/>
          <w:szCs w:val="20"/>
          <w:color w:val="auto"/>
        </w:rPr>
      </w:pPr>
      <w:r>
        <w:rPr>
          <w:rFonts w:ascii="Arial" w:cs="Arial" w:eastAsia="Arial" w:hAnsi="Arial"/>
          <w:sz w:val="14"/>
          <w:szCs w:val="14"/>
          <w:color w:val="auto"/>
        </w:rPr>
        <w:t>The functions of the Audit Committee include overseeing (i) management’s conduct of the Company’s financial reporting process (including the developm maintenance of systems of internal accounting and financial controls); (ii) the integrity of the Company’s financial statements; (iii) the Company’s compliance with l and regulatory requirements; (iv) the qualifications and independence of the Company’s outside auditor; (v) the performance of the Company’s internal audit function</w:t>
      </w:r>
    </w:p>
    <w:p>
      <w:pPr>
        <w:spacing w:after="0" w:line="1" w:lineRule="exact"/>
        <w:rPr>
          <w:sz w:val="20"/>
          <w:szCs w:val="20"/>
          <w:color w:val="auto"/>
        </w:rPr>
      </w:pPr>
    </w:p>
    <w:p>
      <w:pPr>
        <w:ind w:left="9" w:hanging="9"/>
        <w:spacing w:after="0" w:line="245" w:lineRule="auto"/>
        <w:tabs>
          <w:tab w:leader="none" w:pos="2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www.washpostco.com; a copy of suc Charter will be furnished without charge to any shareholder upon written request addressed to the Treasurer of the Company at 1150 15th Street, NW, Washington, D 20071.</w:t>
      </w:r>
    </w:p>
    <w:p>
      <w:pPr>
        <w:spacing w:after="0" w:line="184" w:lineRule="exact"/>
        <w:rPr>
          <w:sz w:val="20"/>
          <w:szCs w:val="20"/>
          <w:color w:val="auto"/>
        </w:rPr>
      </w:pPr>
    </w:p>
    <w:p>
      <w:pPr>
        <w:jc w:val="both"/>
        <w:ind w:left="9" w:firstLine="670"/>
        <w:spacing w:after="0" w:line="267" w:lineRule="auto"/>
        <w:rPr>
          <w:sz w:val="20"/>
          <w:szCs w:val="20"/>
          <w:color w:val="auto"/>
        </w:rPr>
      </w:pPr>
      <w:r>
        <w:rPr>
          <w:rFonts w:ascii="Arial" w:cs="Arial" w:eastAsia="Arial" w:hAnsi="Arial"/>
          <w:sz w:val="16"/>
          <w:szCs w:val="16"/>
          <w:color w:val="auto"/>
        </w:rPr>
        <w:t>Christopher C. Davis, Thomas S. Gayner (Chairman) and G. Richard Wagoner, Jr. served on the Audit Committee in 2012. John L. Dotson Jr. served as a m of the Audit Committee through February 2012. The Board of Directors has determined that all members of the Audit Committee are non-employee, “financially liter “independent” Directors within the meaning of the New York Stock Exchange listing standards. None of the members of the Audit Committee has accepted, other tha his capacity as a Committee or Board member, any consulting, advisory or other compensatory fee from the Company or its affiliates, and none of the members of th Committee has a material relationship with the Company.</w:t>
      </w:r>
    </w:p>
    <w:p>
      <w:pPr>
        <w:spacing w:after="0" w:line="168" w:lineRule="exact"/>
        <w:rPr>
          <w:sz w:val="20"/>
          <w:szCs w:val="20"/>
          <w:color w:val="auto"/>
        </w:rPr>
      </w:pPr>
    </w:p>
    <w:p>
      <w:pPr>
        <w:ind w:left="9" w:firstLine="670"/>
        <w:spacing w:after="0" w:line="308" w:lineRule="auto"/>
        <w:rPr>
          <w:sz w:val="20"/>
          <w:szCs w:val="20"/>
          <w:color w:val="auto"/>
        </w:rPr>
      </w:pPr>
      <w:r>
        <w:rPr>
          <w:rFonts w:ascii="Arial" w:cs="Arial" w:eastAsia="Arial" w:hAnsi="Arial"/>
          <w:sz w:val="14"/>
          <w:szCs w:val="14"/>
          <w:color w:val="auto"/>
        </w:rPr>
        <w:t>The Board has determined that Thomas S. Gayner has the requisite background and experience to be (and is) designated an “audit committee financial expe within the meaning of Item 407(d)(5)(ii) of Regulation S-K due to his extensive experience, as discussed under “Proposal 1: Election of Directors.” In addition, the B has determined that all of the members of the Audit Committee are well-grounded in financial matters and are familiar with generally accepted accounting principles.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 rely on management, in addition to external experts, such as the Company’s independent registered public accountants, PricewaterhouseCoopers LLP. In addition, the Committee has authority to obtain advice from internal or external legal or other advisors.</w:t>
      </w:r>
    </w:p>
    <w:p>
      <w:pPr>
        <w:spacing w:after="0" w:line="142" w:lineRule="exact"/>
        <w:rPr>
          <w:sz w:val="20"/>
          <w:szCs w:val="20"/>
          <w:color w:val="auto"/>
        </w:rPr>
      </w:pPr>
    </w:p>
    <w:p>
      <w:pPr>
        <w:ind w:left="669"/>
        <w:spacing w:after="0"/>
        <w:rPr>
          <w:sz w:val="20"/>
          <w:szCs w:val="20"/>
          <w:color w:val="auto"/>
        </w:rPr>
      </w:pPr>
      <w:r>
        <w:rPr>
          <w:rFonts w:ascii="Arial" w:cs="Arial" w:eastAsia="Arial" w:hAnsi="Arial"/>
          <w:sz w:val="17"/>
          <w:szCs w:val="17"/>
          <w:color w:val="auto"/>
        </w:rPr>
        <w:t>The Audit Committee held seven meetings in 2012.</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02" w:lineRule="exact"/>
        <w:rPr>
          <w:sz w:val="20"/>
          <w:szCs w:val="20"/>
          <w:color w:val="auto"/>
        </w:rPr>
      </w:pPr>
    </w:p>
    <w:p>
      <w:pPr>
        <w:jc w:val="both"/>
        <w:ind w:left="9" w:firstLine="670"/>
        <w:spacing w:after="0" w:line="264" w:lineRule="auto"/>
        <w:rPr>
          <w:sz w:val="20"/>
          <w:szCs w:val="20"/>
          <w:color w:val="auto"/>
        </w:rPr>
      </w:pPr>
      <w:r>
        <w:rPr>
          <w:rFonts w:ascii="Arial" w:cs="Arial" w:eastAsia="Arial" w:hAnsi="Arial"/>
          <w:sz w:val="16"/>
          <w:szCs w:val="16"/>
          <w:color w:val="auto"/>
        </w:rPr>
        <w:t>The functions of the Compensation Committee include (i) reviewing the compensation of the Company’s Chief Executive Officer; (ii) consulting with the Executive Officer with respect to the compensation of the Company’s other executives (including, specifically, approving all salaries of $300,000 or more per year; a incentive compensation awards and all other bonuses, other than sales bonuses, of $75,000 or more for employees of all business units, including Corporate; and awa restricted stock and stock options); (iii) overseeing the administration and determination of awards under the Company’s compensation plans; and (iv) preparing any on executive compensation required by the rules and regulations of the SEC. A current copy of the Compensation Committee’s Charter is available on the Company’ website, www.washpostco.com; a copy of such Charter will be furnished without charge to any shareholder upon written request addressed to the Treasurer of the Co at 1150 15th Street, NW, Washington, DC 20071.</w:t>
      </w:r>
    </w:p>
    <w:p>
      <w:pPr>
        <w:spacing w:after="0" w:line="19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48" w:right="139" w:bottom="1440" w:gutter="0" w:footer="0" w:header="0"/>
        </w:sectPr>
      </w:pPr>
    </w:p>
    <w:bookmarkStart w:id="11" w:name="page12"/>
    <w:bookmarkEnd w:id="11"/>
    <w:p>
      <w:pPr>
        <w:ind w:right="20" w:firstLine="670"/>
        <w:spacing w:after="0" w:line="368" w:lineRule="auto"/>
        <w:rPr>
          <w:sz w:val="20"/>
          <w:szCs w:val="20"/>
          <w:color w:val="auto"/>
        </w:rPr>
      </w:pPr>
      <w:r>
        <w:rPr>
          <w:rFonts w:ascii="Arial" w:cs="Arial" w:eastAsia="Arial" w:hAnsi="Arial"/>
          <w:sz w:val="14"/>
          <w:szCs w:val="14"/>
          <w:color w:val="auto"/>
        </w:rPr>
        <w:t>Lee C. Bollinger, Barry Diller, Anne M. Mulcahy (Chairman) and Larry D. Thompson served on the Compensation Committee in 2012. All members of th Compensation Committee are non-employee, “independent” Directors within the meaning of the listing requirements of the New York Stock Exchange.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Compensation Committee held six meetings in 2012.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Committee</w:t>
      </w:r>
    </w:p>
    <w:p>
      <w:pPr>
        <w:spacing w:after="0" w:line="202" w:lineRule="exact"/>
        <w:rPr>
          <w:sz w:val="20"/>
          <w:szCs w:val="20"/>
          <w:color w:val="auto"/>
        </w:rPr>
      </w:pPr>
    </w:p>
    <w:p>
      <w:pPr>
        <w:ind w:firstLine="670"/>
        <w:spacing w:after="0" w:line="252"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 benefit plan assets, stock repurchase programs and certain other financial matters.</w:t>
      </w:r>
    </w:p>
    <w:p>
      <w:pPr>
        <w:spacing w:after="0" w:line="178" w:lineRule="exact"/>
        <w:rPr>
          <w:sz w:val="20"/>
          <w:szCs w:val="20"/>
          <w:color w:val="auto"/>
        </w:rPr>
      </w:pPr>
    </w:p>
    <w:p>
      <w:pPr>
        <w:ind w:right="20" w:firstLine="670"/>
        <w:spacing w:after="0" w:line="260" w:lineRule="auto"/>
        <w:rPr>
          <w:sz w:val="20"/>
          <w:szCs w:val="20"/>
          <w:color w:val="auto"/>
        </w:rPr>
      </w:pPr>
      <w:r>
        <w:rPr>
          <w:rFonts w:ascii="Arial" w:cs="Arial" w:eastAsia="Arial" w:hAnsi="Arial"/>
          <w:sz w:val="17"/>
          <w:szCs w:val="17"/>
          <w:color w:val="auto"/>
        </w:rPr>
        <w:t>Christopher C. Davis (Chairman), Barry Diller, Thomas S. Gayner, Donald E. Graham and Katharine Weymouth served on the Finance Committee in 2012 Goldberg was elected to serve on the Finance Committee in February 2013.</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Finance Committee held one meeting in 2012.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Committee</w:t>
      </w:r>
    </w:p>
    <w:p>
      <w:pPr>
        <w:spacing w:after="0" w:line="202" w:lineRule="exact"/>
        <w:rPr>
          <w:sz w:val="20"/>
          <w:szCs w:val="20"/>
          <w:color w:val="auto"/>
        </w:rPr>
      </w:pPr>
    </w:p>
    <w:p>
      <w:pPr>
        <w:ind w:right="40" w:firstLine="670"/>
        <w:spacing w:after="0" w:line="260" w:lineRule="auto"/>
        <w:rPr>
          <w:sz w:val="20"/>
          <w:szCs w:val="20"/>
          <w:color w:val="auto"/>
        </w:rPr>
      </w:pPr>
      <w:r>
        <w:rPr>
          <w:rFonts w:ascii="Arial" w:cs="Arial" w:eastAsia="Arial" w:hAnsi="Arial"/>
          <w:sz w:val="17"/>
          <w:szCs w:val="17"/>
          <w:color w:val="auto"/>
        </w:rPr>
        <w:t>The Executive Committee has and may exercise all of the powers of the Board that may be delegated by law in the management of the business and affairs Company and exercises the authority of the Board between meetings.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Christopher C. Davis, Barry Diller, Donald E. Graham (Chairman), Anne M. Mulcahy and Ronald L. Olson serve on the Executive Committee.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Executive Committee held two meetings in 2012.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206" w:lineRule="exact"/>
        <w:rPr>
          <w:sz w:val="20"/>
          <w:szCs w:val="20"/>
          <w:color w:val="auto"/>
        </w:rPr>
      </w:pPr>
    </w:p>
    <w:p>
      <w:pPr>
        <w:ind w:firstLine="670"/>
        <w:spacing w:after="0" w:line="260" w:lineRule="auto"/>
        <w:rPr>
          <w:sz w:val="20"/>
          <w:szCs w:val="20"/>
          <w:color w:val="auto"/>
        </w:rPr>
      </w:pPr>
      <w:r>
        <w:rPr>
          <w:rFonts w:ascii="Arial" w:cs="Arial" w:eastAsia="Arial" w:hAnsi="Arial"/>
          <w:sz w:val="17"/>
          <w:szCs w:val="17"/>
          <w:color w:val="auto"/>
        </w:rPr>
        <w:t>The Board held a total of five meetings in 2012. Each Director attended at least 75% of the meetings of the Board and the committees of the Board on whic Director served.</w:t>
      </w:r>
    </w:p>
    <w:p>
      <w:pPr>
        <w:spacing w:after="0" w:line="172" w:lineRule="exact"/>
        <w:rPr>
          <w:sz w:val="20"/>
          <w:szCs w:val="20"/>
          <w:color w:val="auto"/>
        </w:rPr>
      </w:pPr>
    </w:p>
    <w:p>
      <w:pPr>
        <w:ind w:firstLine="670"/>
        <w:spacing w:after="0" w:line="29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 or she will attend the meeting. In addition to the Chairman, three Directors attended the 2012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Annual Payments. During 2012, non-employee Directors received the following:</w:t>
      </w:r>
    </w:p>
    <w:p>
      <w:pPr>
        <w:spacing w:after="0" w:line="14" w:lineRule="exact"/>
        <w:rPr>
          <w:sz w:val="20"/>
          <w:szCs w:val="20"/>
          <w:color w:val="auto"/>
        </w:rPr>
      </w:pPr>
    </w:p>
    <w:p>
      <w:pPr>
        <w:ind w:left="1340" w:hanging="134"/>
        <w:spacing w:after="0"/>
        <w:tabs>
          <w:tab w:leader="none" w:pos="1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$80,000 as a retainer and</w:t>
      </w:r>
    </w:p>
    <w:p>
      <w:pPr>
        <w:spacing w:after="0" w:line="3" w:lineRule="exact"/>
        <w:rPr>
          <w:rFonts w:ascii="Arial" w:cs="Arial" w:eastAsia="Arial" w:hAnsi="Arial"/>
          <w:sz w:val="17"/>
          <w:szCs w:val="17"/>
          <w:color w:val="auto"/>
        </w:rPr>
      </w:pPr>
    </w:p>
    <w:p>
      <w:pPr>
        <w:ind w:left="1340" w:hanging="134"/>
        <w:spacing w:after="0"/>
        <w:tabs>
          <w:tab w:leader="none" w:pos="1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reimbursement of out-of-pocket expenses for the meetings they attended.</w:t>
      </w:r>
    </w:p>
    <w:p>
      <w:pPr>
        <w:spacing w:after="0" w:line="191" w:lineRule="exact"/>
        <w:rPr>
          <w:sz w:val="20"/>
          <w:szCs w:val="20"/>
          <w:color w:val="auto"/>
        </w:rPr>
      </w:pPr>
    </w:p>
    <w:p>
      <w:pPr>
        <w:ind w:firstLine="709"/>
        <w:spacing w:after="0" w:line="260" w:lineRule="auto"/>
        <w:rPr>
          <w:sz w:val="20"/>
          <w:szCs w:val="20"/>
          <w:color w:val="auto"/>
        </w:rPr>
      </w:pPr>
      <w:r>
        <w:rPr>
          <w:rFonts w:ascii="Arial" w:cs="Arial" w:eastAsia="Arial" w:hAnsi="Arial"/>
          <w:sz w:val="17"/>
          <w:szCs w:val="17"/>
          <w:color w:val="auto"/>
        </w:rPr>
        <w:t>Each non-employee Chairman of a committee of the Board received an additional $10,000. Members of the Audit Committee received an additional $12,0 annually for their service on that committee. Employee Directors received no compensation for serving on the Board.</w:t>
      </w:r>
    </w:p>
    <w:p>
      <w:pPr>
        <w:spacing w:after="0" w:line="19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8" w:right="139" w:bottom="1440" w:gutter="0" w:footer="0" w:header="0"/>
        </w:sectPr>
      </w:pPr>
    </w:p>
    <w:bookmarkStart w:id="12" w:name="page13"/>
    <w:bookmarkEnd w:id="12"/>
    <w:p>
      <w:pPr>
        <w:ind w:left="700"/>
        <w:spacing w:after="0"/>
        <w:rPr>
          <w:sz w:val="20"/>
          <w:szCs w:val="20"/>
          <w:color w:val="auto"/>
        </w:rPr>
      </w:pPr>
      <w:r>
        <w:rPr>
          <w:rFonts w:ascii="Arial" w:cs="Arial" w:eastAsia="Arial" w:hAnsi="Arial"/>
          <w:sz w:val="17"/>
          <w:szCs w:val="17"/>
          <w:color w:val="auto"/>
        </w:rPr>
        <w:t>The total 2012 compensation of non-employee Directors is shown on the following table:</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DIRECTOR COMPENSATION</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580" w:type="dxa"/>
            <w:vAlign w:val="bottom"/>
            <w:tcBorders>
              <w:top w:val="single" w:sz="8" w:color="auto"/>
              <w:left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3"/>
              </w:rPr>
              <w:t>Change in</w:t>
            </w:r>
          </w:p>
        </w:tc>
        <w:tc>
          <w:tcPr>
            <w:tcW w:w="136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186"/>
        </w:trPr>
        <w:tc>
          <w:tcPr>
            <w:tcW w:w="458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89"/>
              </w:rPr>
              <w:t>Pension</w:t>
            </w:r>
          </w:p>
        </w:tc>
        <w:tc>
          <w:tcPr>
            <w:tcW w:w="1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458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5"/>
              </w:rPr>
              <w:t>Value and</w:t>
            </w:r>
          </w:p>
        </w:tc>
        <w:tc>
          <w:tcPr>
            <w:tcW w:w="1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458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6"/>
              </w:rPr>
              <w:t>Nonqualified</w:t>
            </w:r>
          </w:p>
        </w:tc>
        <w:tc>
          <w:tcPr>
            <w:tcW w:w="1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4580" w:type="dxa"/>
            <w:vAlign w:val="bottom"/>
            <w:tcBorders>
              <w:left w:val="single" w:sz="8" w:color="auto"/>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3"/>
              </w:rPr>
              <w:t>Deferred</w:t>
            </w:r>
          </w:p>
        </w:tc>
        <w:tc>
          <w:tcPr>
            <w:tcW w:w="13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50"/>
        </w:trPr>
        <w:tc>
          <w:tcPr>
            <w:tcW w:w="4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Fees Earned or</w:t>
            </w: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3"/>
              </w:rPr>
              <w:t>Compensation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45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3"/>
              </w:rPr>
              <w:t>Paid in Cash ($)</w:t>
            </w:r>
          </w:p>
        </w:tc>
        <w:tc>
          <w:tcPr>
            <w:tcW w:w="1720" w:type="dxa"/>
            <w:vAlign w:val="bottom"/>
            <w:tcBorders>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w w:val="95"/>
              </w:rPr>
              <w:t>Earnings ($)</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Compensation ($)</w:t>
            </w:r>
          </w:p>
        </w:tc>
        <w:tc>
          <w:tcPr>
            <w:tcW w:w="1420" w:type="dxa"/>
            <w:vAlign w:val="bottom"/>
            <w:gridSpan w:val="2"/>
          </w:tcPr>
          <w:p>
            <w:pPr>
              <w:jc w:val="center"/>
              <w:ind w:left="298"/>
              <w:spacing w:after="0"/>
              <w:rPr>
                <w:sz w:val="20"/>
                <w:szCs w:val="20"/>
                <w:color w:val="auto"/>
              </w:rPr>
            </w:pPr>
            <w:r>
              <w:rPr>
                <w:rFonts w:ascii="Arial" w:cs="Arial" w:eastAsia="Arial" w:hAnsi="Arial"/>
                <w:sz w:val="12"/>
                <w:szCs w:val="12"/>
                <w:b w:val="1"/>
                <w:bCs w:val="1"/>
                <w:color w:val="auto"/>
                <w:w w:val="98"/>
              </w:rPr>
              <w:t>Total ($)</w:t>
            </w:r>
          </w:p>
        </w:tc>
      </w:tr>
      <w:tr>
        <w:trPr>
          <w:trHeight w:val="187"/>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Name (a)</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778"/>
              <w:spacing w:after="0"/>
              <w:rPr>
                <w:sz w:val="20"/>
                <w:szCs w:val="20"/>
                <w:color w:val="auto"/>
              </w:rPr>
            </w:pPr>
            <w:r>
              <w:rPr>
                <w:rFonts w:ascii="Arial" w:cs="Arial" w:eastAsia="Arial" w:hAnsi="Arial"/>
                <w:sz w:val="12"/>
                <w:szCs w:val="12"/>
                <w:b w:val="1"/>
                <w:bCs w:val="1"/>
                <w:color w:val="auto"/>
              </w:rPr>
              <w:t>(b)</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rPr>
              <w:t>(f)</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8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378"/>
              <w:spacing w:after="0"/>
              <w:rPr>
                <w:sz w:val="20"/>
                <w:szCs w:val="20"/>
                <w:color w:val="auto"/>
              </w:rPr>
            </w:pPr>
            <w:r>
              <w:rPr>
                <w:rFonts w:ascii="Arial" w:cs="Arial" w:eastAsia="Arial" w:hAnsi="Arial"/>
                <w:sz w:val="12"/>
                <w:szCs w:val="12"/>
                <w:b w:val="1"/>
                <w:bCs w:val="1"/>
                <w:color w:val="auto"/>
                <w:w w:val="91"/>
              </w:rPr>
              <w:t>(h)</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Lee C. Bollinger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80,000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80,000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Christopher C. Davis</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58"/>
              <w:spacing w:after="0"/>
              <w:rPr>
                <w:sz w:val="20"/>
                <w:szCs w:val="20"/>
                <w:color w:val="auto"/>
              </w:rPr>
            </w:pPr>
            <w:r>
              <w:rPr>
                <w:rFonts w:ascii="Arial" w:cs="Arial" w:eastAsia="Arial" w:hAnsi="Arial"/>
                <w:sz w:val="12"/>
                <w:szCs w:val="12"/>
                <w:color w:val="auto"/>
                <w:w w:val="92"/>
              </w:rPr>
              <w:t>102,000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w w:val="92"/>
              </w:rPr>
              <w:t>102,000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Barry Diller</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80,000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80,000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John L. Dotson Jr. (1)</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46,000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46,000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Thomas S. Gayner</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58"/>
              <w:spacing w:after="0"/>
              <w:rPr>
                <w:sz w:val="20"/>
                <w:szCs w:val="20"/>
                <w:color w:val="auto"/>
              </w:rPr>
            </w:pPr>
            <w:r>
              <w:rPr>
                <w:rFonts w:ascii="Arial" w:cs="Arial" w:eastAsia="Arial" w:hAnsi="Arial"/>
                <w:sz w:val="12"/>
                <w:szCs w:val="12"/>
                <w:color w:val="auto"/>
                <w:w w:val="92"/>
              </w:rPr>
              <w:t>102,000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w w:val="92"/>
              </w:rPr>
              <w:t>102,000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David Goldberg (2)</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20,000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20,000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Anne M. Mulcahy</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90,000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90,000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Ronald L. Olson</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80,000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80,000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Larry D. Thompson</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80,000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40,000</w:t>
            </w:r>
          </w:p>
        </w:tc>
      </w:tr>
      <w:tr>
        <w:trPr>
          <w:trHeight w:val="179"/>
        </w:trPr>
        <w:tc>
          <w:tcPr>
            <w:tcW w:w="4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G. Richard Wagoner, Jr.</w:t>
            </w: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238"/>
              <w:spacing w:after="0"/>
              <w:rPr>
                <w:sz w:val="20"/>
                <w:szCs w:val="20"/>
                <w:color w:val="auto"/>
              </w:rPr>
            </w:pPr>
            <w:r>
              <w:rPr>
                <w:rFonts w:ascii="Arial" w:cs="Arial" w:eastAsia="Arial" w:hAnsi="Arial"/>
                <w:sz w:val="12"/>
                <w:szCs w:val="12"/>
                <w:color w:val="auto"/>
                <w:w w:val="92"/>
              </w:rPr>
              <w:t>92,000</w:t>
            </w:r>
          </w:p>
        </w:tc>
        <w:tc>
          <w:tcPr>
            <w:tcW w:w="172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4,000 (3)</w:t>
            </w: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96,000</w:t>
            </w:r>
          </w:p>
        </w:tc>
      </w:tr>
    </w:tbl>
    <w:p>
      <w:pPr>
        <w:spacing w:after="0" w:line="128" w:lineRule="exact"/>
        <w:rPr>
          <w:sz w:val="20"/>
          <w:szCs w:val="20"/>
          <w:color w:val="auto"/>
        </w:rPr>
      </w:pPr>
    </w:p>
    <w:p>
      <w:pPr>
        <w:ind w:left="640" w:hanging="351"/>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Dotson retired from the Board in May 2012. Represents prorated fees through such date.</w:t>
      </w:r>
    </w:p>
    <w:p>
      <w:pPr>
        <w:spacing w:after="0" w:line="8" w:lineRule="exact"/>
        <w:rPr>
          <w:rFonts w:ascii="Arial" w:cs="Arial" w:eastAsia="Arial" w:hAnsi="Arial"/>
          <w:sz w:val="12"/>
          <w:szCs w:val="12"/>
          <w:color w:val="auto"/>
        </w:rPr>
      </w:pPr>
    </w:p>
    <w:p>
      <w:pPr>
        <w:ind w:left="640" w:hanging="351"/>
        <w:spacing w:after="0" w:line="237"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Mr. Goldberg was elected to the Board in September 2012. Represents prorated fees after such date.</w:t>
      </w:r>
    </w:p>
    <w:p>
      <w:pPr>
        <w:ind w:left="640" w:hanging="351"/>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Charitable contribution made pursuant to Company matching gift program.</w:t>
      </w:r>
    </w:p>
    <w:p>
      <w:pPr>
        <w:spacing w:after="0" w:line="183" w:lineRule="exact"/>
        <w:rPr>
          <w:sz w:val="20"/>
          <w:szCs w:val="20"/>
          <w:color w:val="auto"/>
        </w:rPr>
      </w:pPr>
    </w:p>
    <w:p>
      <w:pPr>
        <w:jc w:val="both"/>
        <w:ind w:firstLine="715"/>
        <w:spacing w:after="0" w:line="314" w:lineRule="auto"/>
        <w:rPr>
          <w:sz w:val="20"/>
          <w:szCs w:val="20"/>
          <w:color w:val="auto"/>
        </w:rPr>
      </w:pPr>
      <w:r>
        <w:rPr>
          <w:rFonts w:ascii="Arial" w:cs="Arial" w:eastAsia="Arial" w:hAnsi="Arial"/>
          <w:sz w:val="14"/>
          <w:szCs w:val="14"/>
          <w:color w:val="auto"/>
        </w:rPr>
        <w:t>The Company has in place a voluntary Deferred Compensation Plan for Directors of the Company. The Plan provides an opportunity for participants to defer the receipt of either all or a portion of the fees received for service as a Director. Elections to defer must be filed in advance of earning such fees. Deferred a will earn investment credits in accordance with participant elections from a choice of investment funds (based on the funds available under the Company’s 401(k None of the deferred amounts was credited with above-market interest. Deferred amounts are payable upon separation of service or such other future date as speci the participant at the time of election. The Company does not provide stock awards, option awards or other non-equity compensation to Directors.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w:t>
      </w:r>
    </w:p>
    <w:p>
      <w:pPr>
        <w:spacing w:after="0" w:line="206" w:lineRule="exact"/>
        <w:rPr>
          <w:sz w:val="20"/>
          <w:szCs w:val="20"/>
          <w:color w:val="auto"/>
        </w:rPr>
      </w:pPr>
    </w:p>
    <w:p>
      <w:pPr>
        <w:ind w:firstLine="709"/>
        <w:spacing w:after="0" w:line="303" w:lineRule="auto"/>
        <w:rPr>
          <w:sz w:val="20"/>
          <w:szCs w:val="20"/>
          <w:color w:val="auto"/>
        </w:rPr>
      </w:pPr>
      <w:r>
        <w:rPr>
          <w:rFonts w:ascii="Arial" w:cs="Arial" w:eastAsia="Arial" w:hAnsi="Arial"/>
          <w:sz w:val="14"/>
          <w:szCs w:val="14"/>
          <w:color w:val="auto"/>
        </w:rPr>
        <w:t>The descendants of Katharine Graham (including the Company’s Chief Executive Officer and Chairman of the Board) and trusts for the benefit of those descendants own the majority of the shares of Class A Common Stock and have the right to vote for 70% of the Board of Directors; thus the Company is a “controlle company” for purposes of Section 303A.00 of the New York Stock Exchange Listed Company Manual. As a “controlled company,” the Company is exempt from cer governance requirements, including the requirement that it have a nominating/corporate governance committee, and the Company does not deem it necessary to have committee. The Company does not have a procedure by which shareholders may recommend nominees to the Board, given the Company’s ownership structure. Notwithstanding the fact that as a “controlled company” the Company is not required to have a Board of Directors comprised of a majority of “independent” director Board has determined that current members Lee C. Bollinger, Christopher C. Davis, Barry Diller, Thomas S. Gayner, David Goldberg, Anne M. Mulcahy, Ronald L. Larry D. Thompson and G. Richard Wagoner, Jr. (who together constitute a majority of the Board) are “independent” within the meaning of Section 303A.02 of the N York Stock Exchange Listed Company Manual. In reaching this conclusion, the Board considered commercial relationships with companies at which Directors or the family members served as outside directors or executive officers. These relationships involved the Company’s purchases of services in the ordinary course of busines were made on arm’s-length terms under circumstances and in amounts that did not affect the relevant Directors’ independence.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Non-Management Directors</w:t>
      </w:r>
    </w:p>
    <w:p>
      <w:pPr>
        <w:spacing w:after="0" w:line="206" w:lineRule="exact"/>
        <w:rPr>
          <w:sz w:val="20"/>
          <w:szCs w:val="20"/>
          <w:color w:val="auto"/>
        </w:rPr>
      </w:pPr>
    </w:p>
    <w:p>
      <w:pPr>
        <w:jc w:val="both"/>
        <w:ind w:firstLine="709"/>
        <w:spacing w:after="0" w:line="269"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 management. The Board has appointed Christopher C. Davis as lead Director and has authorized him to preside at the executive sessions. The non-management Dire met in executive session in November 2012 and expect to meet in executive session in 2013 as appropriate.</w:t>
      </w:r>
    </w:p>
    <w:p>
      <w:pPr>
        <w:spacing w:after="0" w:line="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6" w:right="1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06"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Lee C. Bollinger, Barry Diller, Anne M. Mulcahy and Larry D. Thompson served as members of the Compensation Committee in 2012. No member of the Compensation Committee has ever been an employee of the Company. No executive officer of the Company serves on the compensation committee of any other enti has, or has had, one or more of its executive officers serving on the Company’s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 and Role in Risk Oversight</w:t>
      </w:r>
    </w:p>
    <w:p>
      <w:pPr>
        <w:spacing w:after="0" w:line="206" w:lineRule="exact"/>
        <w:rPr>
          <w:sz w:val="20"/>
          <w:szCs w:val="20"/>
          <w:color w:val="auto"/>
        </w:rPr>
      </w:pPr>
    </w:p>
    <w:p>
      <w:pPr>
        <w:ind w:firstLine="709"/>
        <w:spacing w:after="0" w:line="263" w:lineRule="auto"/>
        <w:rPr>
          <w:sz w:val="20"/>
          <w:szCs w:val="20"/>
          <w:color w:val="auto"/>
        </w:rPr>
      </w:pPr>
      <w:r>
        <w:rPr>
          <w:rFonts w:ascii="Arial" w:cs="Arial" w:eastAsia="Arial" w:hAnsi="Arial"/>
          <w:sz w:val="16"/>
          <w:szCs w:val="16"/>
          <w:color w:val="auto"/>
        </w:rPr>
        <w:t>Donald E. Graham serves as Chairman of the Board of the Company as well as Chief Executive Officer of the Company. The Board of Directors believes t Mr. Graham’s service as both Chairman of the Board and Chief Executive Officer is in the best interests of the Company. This structure is appropriate, given the sign shareholdings in the Company of Mr. Graham and the Graham family, and also serves other purposes. Mr. Graham possesses in-depth strategic and operational know of the opportunities and challenges facing the Company and is best positioned to develop agendas that focus on matters that merit Board attention. At his request, Mr. Graham has not received a raise in his annual salary nor received an annual bonus in 22 years in his current non-Board roles. Because his shareholdings represent main financial interest in the Company, the Board believes that Mr. Graham’s interests are well aligned with those of shareholders and that his dual role promotes dec leadership, accountability and clarity in the overall direction of the Company’s business strategy. The Board also believes that this approach facilitates clear and consi communication of the Company’s strategy to all stakeholders.</w:t>
      </w:r>
    </w:p>
    <w:p>
      <w:pPr>
        <w:spacing w:after="0" w:line="174" w:lineRule="exact"/>
        <w:rPr>
          <w:sz w:val="20"/>
          <w:szCs w:val="20"/>
          <w:color w:val="auto"/>
        </w:rPr>
      </w:pPr>
    </w:p>
    <w:p>
      <w:pPr>
        <w:ind w:right="60" w:firstLine="709"/>
        <w:spacing w:after="0" w:line="314" w:lineRule="auto"/>
        <w:rPr>
          <w:sz w:val="20"/>
          <w:szCs w:val="20"/>
          <w:color w:val="auto"/>
        </w:rPr>
      </w:pPr>
      <w:r>
        <w:rPr>
          <w:rFonts w:ascii="Arial" w:cs="Arial" w:eastAsia="Arial" w:hAnsi="Arial"/>
          <w:sz w:val="14"/>
          <w:szCs w:val="14"/>
          <w:color w:val="auto"/>
        </w:rPr>
        <w:t>While as a “controlled company” the Company is not legally required to have a majority of independent Directors, the majority of the Board is, in fact, comprised of independent Directors who act as an effective counterbalance to Mr. Graham in his dual role. The Board also appoints a lead independent Director. Christopher C. Davis serves in this capacity. The lead independent Director typically chairs executive sessions of Board meetings and consults with Mr. Graham and management regarding issues to be included in Board meeting agendas. The lead independent Director is also expected to collaborate with Mr. Graham in reviewing operational and other matters and to act as a liaison between Mr. Graham and Ms. Weymouth and the independent Directors.</w:t>
      </w:r>
    </w:p>
    <w:p>
      <w:pPr>
        <w:spacing w:after="0" w:line="138" w:lineRule="exact"/>
        <w:rPr>
          <w:sz w:val="20"/>
          <w:szCs w:val="20"/>
          <w:color w:val="auto"/>
        </w:rPr>
      </w:pPr>
    </w:p>
    <w:p>
      <w:pPr>
        <w:jc w:val="both"/>
        <w:ind w:firstLine="709"/>
        <w:spacing w:after="0" w:line="310" w:lineRule="auto"/>
        <w:rPr>
          <w:sz w:val="20"/>
          <w:szCs w:val="20"/>
          <w:color w:val="auto"/>
        </w:rPr>
      </w:pPr>
      <w:r>
        <w:rPr>
          <w:rFonts w:ascii="Arial" w:cs="Arial" w:eastAsia="Arial" w:hAnsi="Arial"/>
          <w:sz w:val="14"/>
          <w:szCs w:val="14"/>
          <w:color w:val="auto"/>
        </w:rPr>
        <w:t>The Board as a whole actively considers strategic decisions proposed by management, including matters affecting the business strategy and competitive an financial positions of the Company, and monitors the Company’s risk profile. Board meetings are focused on strategic matters affecting major areas of the Company’ business, including operational, execution and competitive risks and risk management initiatives. The Board fulfills certain risk oversight functions through its standi committees. For example, the Finance Committee reviews and makes recommendations to the Board related to major acquisitions or dispositions, including with resp attendant risks, and the Compensation Committee addresses the risk profile of the Company’s compensation program and arrangements. The Audit Committee also p key role in risk oversight, particularly with respect to financial reporting, accounting and compliance matters.</w:t>
      </w:r>
    </w:p>
    <w:p>
      <w:pPr>
        <w:spacing w:after="0" w:line="142" w:lineRule="exact"/>
        <w:rPr>
          <w:sz w:val="20"/>
          <w:szCs w:val="20"/>
          <w:color w:val="auto"/>
        </w:rPr>
      </w:pPr>
    </w:p>
    <w:p>
      <w:pPr>
        <w:ind w:firstLine="709"/>
        <w:spacing w:after="0" w:line="248" w:lineRule="auto"/>
        <w:rPr>
          <w:sz w:val="20"/>
          <w:szCs w:val="20"/>
          <w:color w:val="auto"/>
        </w:rPr>
      </w:pPr>
      <w:r>
        <w:rPr>
          <w:rFonts w:ascii="Arial" w:cs="Arial" w:eastAsia="Arial" w:hAnsi="Arial"/>
          <w:sz w:val="17"/>
          <w:szCs w:val="17"/>
          <w:color w:val="auto"/>
        </w:rPr>
        <w:t>Risk oversight activities are supported by internal reporting structures that aim to surface directly to the Board key matters that can affect the Company’s ri exposures. For example, the head of the Company’s internal audit function reports directly to the Audit Committee. The Company has also established a management compliance committee that reports periodically to the Audit Committee about regulatory risks affecting the Company’s education businesses, as well as a Disclosure Controls Committee, chaired by the General Counsel, that reports periodically on certain matters relating to the Company’s public disclosures directly to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Communicating With Directors</w:t>
      </w:r>
    </w:p>
    <w:p>
      <w:pPr>
        <w:spacing w:after="0" w:line="206" w:lineRule="exact"/>
        <w:rPr>
          <w:sz w:val="20"/>
          <w:szCs w:val="20"/>
          <w:color w:val="auto"/>
        </w:rPr>
      </w:pPr>
    </w:p>
    <w:p>
      <w:pPr>
        <w:ind w:firstLine="709"/>
        <w:spacing w:after="0" w:line="275" w:lineRule="auto"/>
        <w:rPr>
          <w:sz w:val="20"/>
          <w:szCs w:val="20"/>
          <w:color w:val="auto"/>
        </w:rPr>
      </w:pPr>
      <w:r>
        <w:rPr>
          <w:rFonts w:ascii="Arial" w:cs="Arial" w:eastAsia="Arial" w:hAnsi="Arial"/>
          <w:sz w:val="16"/>
          <w:szCs w:val="16"/>
          <w:color w:val="auto"/>
        </w:rPr>
        <w:t>Interested parties may communicate concerns to the lead Director or to the other Directors of the Company through Global Compliance Services, the Com third-party-managed hotline, via telephone at 1-866-687-8972 or online at https://www.compliance-helpline.com/WashPostCo.jsp.</w:t>
      </w:r>
    </w:p>
    <w:p>
      <w:pPr>
        <w:jc w:val="center"/>
        <w:ind w:left="1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6" w:right="139" w:bottom="1440" w:gutter="0" w:footer="0" w:header="0"/>
        </w:sectPr>
      </w:pPr>
    </w:p>
    <w:bookmarkStart w:id="14" w:name="page15"/>
    <w:bookmarkEnd w:id="14"/>
    <w:p>
      <w:pPr>
        <w:ind w:left="2669"/>
        <w:spacing w:after="0"/>
        <w:rPr>
          <w:sz w:val="20"/>
          <w:szCs w:val="20"/>
          <w:color w:val="auto"/>
        </w:rPr>
      </w:pPr>
      <w:r>
        <w:rPr>
          <w:rFonts w:ascii="Arial" w:cs="Arial" w:eastAsia="Arial" w:hAnsi="Arial"/>
          <w:sz w:val="17"/>
          <w:szCs w:val="17"/>
          <w:b w:val="1"/>
          <w:bCs w:val="1"/>
          <w:color w:val="auto"/>
        </w:rPr>
        <w:t>STOCK HOLDINGS OF CERTAIN BENEFICIAL OWNERS AND MANAGEMENT</w:t>
      </w:r>
    </w:p>
    <w:p>
      <w:pPr>
        <w:spacing w:after="0" w:line="206" w:lineRule="exact"/>
        <w:rPr>
          <w:sz w:val="20"/>
          <w:szCs w:val="20"/>
          <w:color w:val="auto"/>
        </w:rPr>
      </w:pPr>
    </w:p>
    <w:p>
      <w:pPr>
        <w:jc w:val="both"/>
        <w:ind w:left="9" w:firstLine="709"/>
        <w:spacing w:after="0" w:line="302" w:lineRule="auto"/>
        <w:rPr>
          <w:sz w:val="20"/>
          <w:szCs w:val="20"/>
          <w:color w:val="auto"/>
        </w:rPr>
      </w:pPr>
      <w:r>
        <w:rPr>
          <w:rFonts w:ascii="Arial" w:cs="Arial" w:eastAsia="Arial" w:hAnsi="Arial"/>
          <w:sz w:val="14"/>
          <w:szCs w:val="14"/>
          <w:color w:val="auto"/>
        </w:rPr>
        <w:t>The information in the following two tables relates to each person who, on February 1, 2013, was a “beneficial owner” (as defined under the proxy rules of Securities and Exchange Commission) of more than 5% of the Company’s Class A or Class B Stock and to the stock holdings of Directors and officers. Under the pro rules, a person is deemed to be the “beneficial owner” of stock if such person has (or shares) either investment power or voting power over such stock or has (or shar right to acquire such stock within 60 days by any of a number of means, including the conversion of another security that is convertible into such stock. A substantial number of shares of the Company’s Class A and Class B Stock are held in trusts or subject to other agreements that provide for the sharing of investment power, votin power or both among several persons, each of whom is deemed by the Securities and Exchange Commission to be a “beneficial owner” of the shares so held. Further in many cases such persons do not include the beneficiary of the trust who, although not deemed to be a “beneficial owner” in the absence of voting or investment po over the shares, is nevertheless shown below as a “beneficial owner” because of the beneficiary’s economic interest in the shares. In addition, since all of the shares o Class A Stock are convertible at the option of the holder into Class B Stock on a share-for-share basis, each “beneficial owner” of shares of Class A Stock is deemed Securities and Exchange Commission to be a “beneficial owner” of the same number of shares of Class B Stock. In indicating below a person’s “beneficial ownership shares of Class B Stock, it has been assumed that such person has converted into Class B Stock all shares of Class A Stock of which such person is a “beneficial own these reasons, there is very substantial duplication in the numbers of shares and percentages shown in the following table.</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60" w:type="dxa"/>
            <w:vAlign w:val="bottom"/>
            <w:gridSpan w:val="2"/>
          </w:tcPr>
          <w:p>
            <w:pPr>
              <w:ind w:left="820"/>
              <w:spacing w:after="0"/>
              <w:rPr>
                <w:sz w:val="20"/>
                <w:szCs w:val="20"/>
                <w:color w:val="auto"/>
              </w:rPr>
            </w:pPr>
            <w:r>
              <w:rPr>
                <w:rFonts w:ascii="Arial" w:cs="Arial" w:eastAsia="Arial" w:hAnsi="Arial"/>
                <w:sz w:val="17"/>
                <w:szCs w:val="17"/>
                <w:b w:val="1"/>
                <w:bCs w:val="1"/>
                <w:color w:val="auto"/>
              </w:rPr>
              <w:t>Principal Holders of Stock</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780" w:type="dxa"/>
            <w:vAlign w:val="bottom"/>
            <w:vMerge w:val="restart"/>
          </w:tcPr>
          <w:p>
            <w:pPr>
              <w:spacing w:after="0"/>
              <w:rPr>
                <w:sz w:val="20"/>
                <w:szCs w:val="20"/>
                <w:color w:val="auto"/>
              </w:rPr>
            </w:pPr>
            <w:r>
              <w:rPr>
                <w:rFonts w:ascii="Arial" w:cs="Arial" w:eastAsia="Arial" w:hAnsi="Arial"/>
                <w:sz w:val="17"/>
                <w:szCs w:val="17"/>
                <w:b w:val="1"/>
                <w:bCs w:val="1"/>
                <w:color w:val="auto"/>
                <w:w w:val="86"/>
              </w:rPr>
              <w:t>Name and Address of Beneficial Owner</w:t>
            </w:r>
          </w:p>
        </w:tc>
        <w:tc>
          <w:tcPr>
            <w:tcW w:w="118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Shares (%)</w:t>
            </w:r>
          </w:p>
        </w:tc>
        <w:tc>
          <w:tcPr>
            <w:tcW w:w="0" w:type="dxa"/>
            <w:vAlign w:val="bottom"/>
          </w:tcPr>
          <w:p>
            <w:pPr>
              <w:spacing w:after="0"/>
              <w:rPr>
                <w:sz w:val="1"/>
                <w:szCs w:val="1"/>
                <w:color w:val="auto"/>
              </w:rPr>
            </w:pPr>
          </w:p>
        </w:tc>
      </w:tr>
      <w:tr>
        <w:trPr>
          <w:trHeight w:val="160"/>
        </w:trPr>
        <w:tc>
          <w:tcPr>
            <w:tcW w:w="2780" w:type="dxa"/>
            <w:vAlign w:val="bottom"/>
            <w:tcBorders>
              <w:bottom w:val="single" w:sz="8" w:color="auto"/>
            </w:tcBorders>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2040" w:type="dxa"/>
            <w:vAlign w:val="bottom"/>
          </w:tcPr>
          <w:p>
            <w:pPr>
              <w:ind w:left="760"/>
              <w:spacing w:after="0" w:line="154" w:lineRule="exact"/>
              <w:rPr>
                <w:sz w:val="20"/>
                <w:szCs w:val="20"/>
                <w:color w:val="auto"/>
              </w:rPr>
            </w:pPr>
            <w:r>
              <w:rPr>
                <w:rFonts w:ascii="Arial" w:cs="Arial" w:eastAsia="Arial" w:hAnsi="Arial"/>
                <w:sz w:val="17"/>
                <w:szCs w:val="17"/>
                <w:b w:val="1"/>
                <w:bCs w:val="1"/>
                <w:color w:val="auto"/>
              </w:rPr>
              <w:t>Class A Stock</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Pr>
          <w:p>
            <w:pPr>
              <w:ind w:left="720"/>
              <w:spacing w:after="0" w:line="154" w:lineRule="exact"/>
              <w:rPr>
                <w:sz w:val="20"/>
                <w:szCs w:val="20"/>
                <w:color w:val="auto"/>
              </w:rPr>
            </w:pPr>
            <w:r>
              <w:rPr>
                <w:rFonts w:ascii="Arial" w:cs="Arial" w:eastAsia="Arial" w:hAnsi="Arial"/>
                <w:sz w:val="17"/>
                <w:szCs w:val="17"/>
                <w:b w:val="1"/>
                <w:bCs w:val="1"/>
                <w:color w:val="auto"/>
              </w:rPr>
              <w:t>Class B Stock*</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Donald E. Graham </w:t>
            </w:r>
            <w:r>
              <w:rPr>
                <w:rFonts w:ascii="Arial" w:cs="Arial" w:eastAsia="Arial" w:hAnsi="Arial"/>
                <w:sz w:val="13"/>
                <w:szCs w:val="13"/>
                <w:color w:val="auto"/>
              </w:rPr>
              <w:t>(a)</w:t>
            </w:r>
          </w:p>
        </w:tc>
        <w:tc>
          <w:tcPr>
            <w:tcW w:w="2220" w:type="dxa"/>
            <w:vAlign w:val="bottom"/>
            <w:vMerge w:val="restart"/>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60" w:type="dxa"/>
            <w:vAlign w:val="bottom"/>
            <w:gridSpan w:val="2"/>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2040" w:type="dxa"/>
            <w:vAlign w:val="bottom"/>
          </w:tcPr>
          <w:p>
            <w:pPr>
              <w:jc w:val="center"/>
              <w:ind w:left="397"/>
              <w:spacing w:after="0" w:line="188" w:lineRule="exact"/>
              <w:rPr>
                <w:sz w:val="20"/>
                <w:szCs w:val="20"/>
                <w:color w:val="auto"/>
              </w:rPr>
            </w:pPr>
            <w:r>
              <w:rPr>
                <w:rFonts w:ascii="Arial" w:cs="Arial" w:eastAsia="Arial" w:hAnsi="Arial"/>
                <w:sz w:val="17"/>
                <w:szCs w:val="17"/>
                <w:color w:val="auto"/>
                <w:w w:val="88"/>
              </w:rPr>
              <w:t>1,179,637 (96.7%)</w:t>
            </w:r>
          </w:p>
        </w:tc>
        <w:tc>
          <w:tcPr>
            <w:tcW w:w="4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020" w:type="dxa"/>
            <w:vAlign w:val="bottom"/>
          </w:tcPr>
          <w:p>
            <w:pPr>
              <w:jc w:val="center"/>
              <w:ind w:left="377"/>
              <w:spacing w:after="0" w:line="188" w:lineRule="exact"/>
              <w:rPr>
                <w:sz w:val="20"/>
                <w:szCs w:val="20"/>
                <w:color w:val="auto"/>
              </w:rPr>
            </w:pPr>
            <w:r>
              <w:rPr>
                <w:rFonts w:ascii="Arial" w:cs="Arial" w:eastAsia="Arial" w:hAnsi="Arial"/>
                <w:sz w:val="17"/>
                <w:szCs w:val="17"/>
                <w:color w:val="auto"/>
                <w:w w:val="88"/>
              </w:rPr>
              <w:t>2,943,702 (39.6%)</w:t>
            </w:r>
          </w:p>
        </w:tc>
        <w:tc>
          <w:tcPr>
            <w:tcW w:w="0" w:type="dxa"/>
            <w:vAlign w:val="bottom"/>
          </w:tcPr>
          <w:p>
            <w:pPr>
              <w:spacing w:after="0"/>
              <w:rPr>
                <w:sz w:val="1"/>
                <w:szCs w:val="1"/>
                <w:color w:val="auto"/>
              </w:rPr>
            </w:pPr>
          </w:p>
        </w:tc>
      </w:tr>
      <w:tr>
        <w:trPr>
          <w:trHeight w:val="209"/>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1150 15th Street, NW</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Washington, DC</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William W. Graham </w:t>
            </w:r>
            <w:r>
              <w:rPr>
                <w:rFonts w:ascii="Arial" w:cs="Arial" w:eastAsia="Arial" w:hAnsi="Arial"/>
                <w:sz w:val="13"/>
                <w:szCs w:val="13"/>
                <w:color w:val="auto"/>
              </w:rPr>
              <w:t>(b)</w:t>
            </w:r>
          </w:p>
        </w:tc>
        <w:tc>
          <w:tcPr>
            <w:tcW w:w="4260" w:type="dxa"/>
            <w:vAlign w:val="bottom"/>
            <w:gridSpan w:val="2"/>
          </w:tcPr>
          <w:p>
            <w:pPr>
              <w:jc w:val="center"/>
              <w:ind w:left="2617"/>
              <w:spacing w:after="0"/>
              <w:rPr>
                <w:sz w:val="20"/>
                <w:szCs w:val="20"/>
                <w:color w:val="auto"/>
              </w:rPr>
            </w:pPr>
            <w:r>
              <w:rPr>
                <w:rFonts w:ascii="Arial" w:cs="Arial" w:eastAsia="Arial" w:hAnsi="Arial"/>
                <w:sz w:val="17"/>
                <w:szCs w:val="17"/>
                <w:color w:val="auto"/>
                <w:w w:val="89"/>
              </w:rPr>
              <w:t>137,269 (11.3%)</w:t>
            </w:r>
          </w:p>
        </w:tc>
        <w:tc>
          <w:tcPr>
            <w:tcW w:w="2720" w:type="dxa"/>
            <w:vAlign w:val="bottom"/>
            <w:gridSpan w:val="3"/>
          </w:tcPr>
          <w:p>
            <w:pPr>
              <w:jc w:val="center"/>
              <w:ind w:left="10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11661 San Vicente Boulevard, Suite 401</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Los Angeles, CA</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Stephen M. Graham </w:t>
            </w:r>
            <w:r>
              <w:rPr>
                <w:rFonts w:ascii="Arial" w:cs="Arial" w:eastAsia="Arial" w:hAnsi="Arial"/>
                <w:sz w:val="13"/>
                <w:szCs w:val="13"/>
                <w:color w:val="auto"/>
              </w:rPr>
              <w:t>(c)</w:t>
            </w:r>
          </w:p>
        </w:tc>
        <w:tc>
          <w:tcPr>
            <w:tcW w:w="4260" w:type="dxa"/>
            <w:vAlign w:val="bottom"/>
            <w:gridSpan w:val="2"/>
          </w:tcPr>
          <w:p>
            <w:pPr>
              <w:jc w:val="center"/>
              <w:ind w:left="2617"/>
              <w:spacing w:after="0"/>
              <w:rPr>
                <w:sz w:val="20"/>
                <w:szCs w:val="20"/>
                <w:color w:val="auto"/>
              </w:rPr>
            </w:pPr>
            <w:r>
              <w:rPr>
                <w:rFonts w:ascii="Arial" w:cs="Arial" w:eastAsia="Arial" w:hAnsi="Arial"/>
                <w:sz w:val="17"/>
                <w:szCs w:val="17"/>
                <w:color w:val="auto"/>
                <w:w w:val="89"/>
              </w:rPr>
              <w:t>147,942 (12.1%)</w:t>
            </w:r>
          </w:p>
        </w:tc>
        <w:tc>
          <w:tcPr>
            <w:tcW w:w="2720" w:type="dxa"/>
            <w:vAlign w:val="bottom"/>
            <w:gridSpan w:val="3"/>
          </w:tcPr>
          <w:p>
            <w:pPr>
              <w:jc w:val="center"/>
              <w:ind w:left="10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18 East 78th Street</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New York, NY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Elizabeth G. Weymouth </w:t>
            </w:r>
            <w:r>
              <w:rPr>
                <w:rFonts w:ascii="Arial" w:cs="Arial" w:eastAsia="Arial" w:hAnsi="Arial"/>
                <w:sz w:val="13"/>
                <w:szCs w:val="13"/>
                <w:color w:val="auto"/>
              </w:rPr>
              <w:t>(d)</w:t>
            </w:r>
          </w:p>
        </w:tc>
        <w:tc>
          <w:tcPr>
            <w:tcW w:w="4260" w:type="dxa"/>
            <w:vAlign w:val="bottom"/>
            <w:gridSpan w:val="2"/>
          </w:tcPr>
          <w:p>
            <w:pPr>
              <w:jc w:val="center"/>
              <w:ind w:left="2617"/>
              <w:spacing w:after="0"/>
              <w:rPr>
                <w:sz w:val="20"/>
                <w:szCs w:val="20"/>
                <w:color w:val="auto"/>
              </w:rPr>
            </w:pPr>
            <w:r>
              <w:rPr>
                <w:rFonts w:ascii="Arial" w:cs="Arial" w:eastAsia="Arial" w:hAnsi="Arial"/>
                <w:sz w:val="17"/>
                <w:szCs w:val="17"/>
                <w:color w:val="auto"/>
                <w:w w:val="89"/>
              </w:rPr>
              <w:t>251,332 (20.6%)</w:t>
            </w:r>
          </w:p>
        </w:tc>
        <w:tc>
          <w:tcPr>
            <w:tcW w:w="2720" w:type="dxa"/>
            <w:vAlign w:val="bottom"/>
            <w:gridSpan w:val="3"/>
          </w:tcPr>
          <w:p>
            <w:pPr>
              <w:jc w:val="center"/>
              <w:ind w:left="10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1150 15th Street, NW</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Washington, DC</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George J. Gillespie III </w:t>
            </w:r>
            <w:r>
              <w:rPr>
                <w:rFonts w:ascii="Arial" w:cs="Arial" w:eastAsia="Arial" w:hAnsi="Arial"/>
                <w:sz w:val="13"/>
                <w:szCs w:val="13"/>
                <w:color w:val="auto"/>
              </w:rPr>
              <w:t>(e)</w:t>
            </w:r>
          </w:p>
        </w:tc>
        <w:tc>
          <w:tcPr>
            <w:tcW w:w="4260" w:type="dxa"/>
            <w:vAlign w:val="bottom"/>
            <w:gridSpan w:val="2"/>
          </w:tcPr>
          <w:p>
            <w:pPr>
              <w:jc w:val="center"/>
              <w:ind w:left="2617"/>
              <w:spacing w:after="0"/>
              <w:rPr>
                <w:sz w:val="20"/>
                <w:szCs w:val="20"/>
                <w:color w:val="auto"/>
              </w:rPr>
            </w:pPr>
            <w:r>
              <w:rPr>
                <w:rFonts w:ascii="Arial" w:cs="Arial" w:eastAsia="Arial" w:hAnsi="Arial"/>
                <w:sz w:val="17"/>
                <w:szCs w:val="17"/>
                <w:color w:val="auto"/>
                <w:w w:val="89"/>
              </w:rPr>
              <w:t>224,384 (18.4%)</w:t>
            </w:r>
          </w:p>
        </w:tc>
        <w:tc>
          <w:tcPr>
            <w:tcW w:w="2720" w:type="dxa"/>
            <w:vAlign w:val="bottom"/>
            <w:gridSpan w:val="3"/>
          </w:tcPr>
          <w:p>
            <w:pPr>
              <w:jc w:val="center"/>
              <w:ind w:left="10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825 Eighth Avenue</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New York, NY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Daniel L. Mosley </w:t>
            </w:r>
            <w:r>
              <w:rPr>
                <w:rFonts w:ascii="Arial" w:cs="Arial" w:eastAsia="Arial" w:hAnsi="Arial"/>
                <w:sz w:val="13"/>
                <w:szCs w:val="13"/>
                <w:color w:val="auto"/>
              </w:rPr>
              <w:t>(f)</w:t>
            </w:r>
          </w:p>
        </w:tc>
        <w:tc>
          <w:tcPr>
            <w:tcW w:w="4260" w:type="dxa"/>
            <w:vAlign w:val="bottom"/>
            <w:gridSpan w:val="2"/>
          </w:tcPr>
          <w:p>
            <w:pPr>
              <w:jc w:val="center"/>
              <w:ind w:left="2617"/>
              <w:spacing w:after="0"/>
              <w:rPr>
                <w:sz w:val="20"/>
                <w:szCs w:val="20"/>
                <w:color w:val="auto"/>
              </w:rPr>
            </w:pPr>
            <w:r>
              <w:rPr>
                <w:rFonts w:ascii="Arial" w:cs="Arial" w:eastAsia="Arial" w:hAnsi="Arial"/>
                <w:sz w:val="17"/>
                <w:szCs w:val="17"/>
                <w:color w:val="auto"/>
                <w:w w:val="89"/>
              </w:rPr>
              <w:t>813,233 (66.7%)</w:t>
            </w:r>
          </w:p>
        </w:tc>
        <w:tc>
          <w:tcPr>
            <w:tcW w:w="2720" w:type="dxa"/>
            <w:vAlign w:val="bottom"/>
            <w:gridSpan w:val="3"/>
          </w:tcPr>
          <w:p>
            <w:pPr>
              <w:jc w:val="center"/>
              <w:ind w:left="1097"/>
              <w:spacing w:after="0"/>
              <w:rPr>
                <w:sz w:val="20"/>
                <w:szCs w:val="20"/>
                <w:color w:val="auto"/>
              </w:rPr>
            </w:pPr>
            <w:r>
              <w:rPr>
                <w:rFonts w:ascii="Arial" w:cs="Arial" w:eastAsia="Arial" w:hAnsi="Arial"/>
                <w:sz w:val="17"/>
                <w:szCs w:val="17"/>
                <w:color w:val="auto"/>
                <w:w w:val="87"/>
              </w:rPr>
              <w:t>841,779 (11.3%)</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825 Eighth Avenue</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New York, NY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Berkshire Hathaway Inc. </w:t>
            </w:r>
            <w:r>
              <w:rPr>
                <w:rFonts w:ascii="Arial" w:cs="Arial" w:eastAsia="Arial" w:hAnsi="Arial"/>
                <w:sz w:val="13"/>
                <w:szCs w:val="13"/>
                <w:color w:val="auto"/>
              </w:rPr>
              <w:t>(g)</w:t>
            </w:r>
          </w:p>
        </w:tc>
        <w:tc>
          <w:tcPr>
            <w:tcW w:w="2220" w:type="dxa"/>
            <w:vAlign w:val="bottom"/>
          </w:tcPr>
          <w:p>
            <w:pPr>
              <w:spacing w:after="0"/>
              <w:rPr>
                <w:sz w:val="18"/>
                <w:szCs w:val="18"/>
                <w:color w:val="auto"/>
              </w:rPr>
            </w:pPr>
          </w:p>
        </w:tc>
        <w:tc>
          <w:tcPr>
            <w:tcW w:w="2040" w:type="dxa"/>
            <w:vAlign w:val="bottom"/>
          </w:tcPr>
          <w:p>
            <w:pPr>
              <w:jc w:val="center"/>
              <w:ind w:left="397"/>
              <w:spacing w:after="0"/>
              <w:rPr>
                <w:sz w:val="20"/>
                <w:szCs w:val="20"/>
                <w:color w:val="auto"/>
              </w:rPr>
            </w:pPr>
            <w:r>
              <w:rPr>
                <w:rFonts w:ascii="Arial" w:cs="Arial" w:eastAsia="Arial" w:hAnsi="Arial"/>
                <w:sz w:val="17"/>
                <w:szCs w:val="17"/>
                <w:color w:val="auto"/>
                <w:w w:val="84"/>
              </w:rPr>
              <w:t>–</w:t>
            </w:r>
          </w:p>
        </w:tc>
        <w:tc>
          <w:tcPr>
            <w:tcW w:w="2720" w:type="dxa"/>
            <w:vAlign w:val="bottom"/>
            <w:gridSpan w:val="3"/>
          </w:tcPr>
          <w:p>
            <w:pPr>
              <w:jc w:val="center"/>
              <w:ind w:left="1077"/>
              <w:spacing w:after="0"/>
              <w:rPr>
                <w:sz w:val="20"/>
                <w:szCs w:val="20"/>
                <w:color w:val="auto"/>
              </w:rPr>
            </w:pPr>
            <w:r>
              <w:rPr>
                <w:rFonts w:ascii="Arial" w:cs="Arial" w:eastAsia="Arial" w:hAnsi="Arial"/>
                <w:sz w:val="17"/>
                <w:szCs w:val="17"/>
                <w:color w:val="auto"/>
                <w:w w:val="88"/>
              </w:rPr>
              <w:t>1,727,765 (23.3%)</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1440 Kiewit Plaza</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Omaha, NE</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Southeastern Asset Management </w:t>
            </w:r>
            <w:r>
              <w:rPr>
                <w:rFonts w:ascii="Arial" w:cs="Arial" w:eastAsia="Arial" w:hAnsi="Arial"/>
                <w:sz w:val="13"/>
                <w:szCs w:val="13"/>
                <w:color w:val="auto"/>
              </w:rPr>
              <w:t>(h)</w:t>
            </w:r>
          </w:p>
        </w:tc>
        <w:tc>
          <w:tcPr>
            <w:tcW w:w="2220" w:type="dxa"/>
            <w:vAlign w:val="bottom"/>
          </w:tcPr>
          <w:p>
            <w:pPr>
              <w:spacing w:after="0"/>
              <w:rPr>
                <w:sz w:val="18"/>
                <w:szCs w:val="18"/>
                <w:color w:val="auto"/>
              </w:rPr>
            </w:pPr>
          </w:p>
        </w:tc>
        <w:tc>
          <w:tcPr>
            <w:tcW w:w="2040" w:type="dxa"/>
            <w:vAlign w:val="bottom"/>
          </w:tcPr>
          <w:p>
            <w:pPr>
              <w:jc w:val="center"/>
              <w:ind w:left="397"/>
              <w:spacing w:after="0"/>
              <w:rPr>
                <w:sz w:val="20"/>
                <w:szCs w:val="20"/>
                <w:color w:val="auto"/>
              </w:rPr>
            </w:pPr>
            <w:r>
              <w:rPr>
                <w:rFonts w:ascii="Arial" w:cs="Arial" w:eastAsia="Arial" w:hAnsi="Arial"/>
                <w:sz w:val="17"/>
                <w:szCs w:val="17"/>
                <w:color w:val="auto"/>
                <w:w w:val="84"/>
              </w:rPr>
              <w:t>–</w:t>
            </w:r>
          </w:p>
        </w:tc>
        <w:tc>
          <w:tcPr>
            <w:tcW w:w="2720" w:type="dxa"/>
            <w:vAlign w:val="bottom"/>
            <w:gridSpan w:val="3"/>
          </w:tcPr>
          <w:p>
            <w:pPr>
              <w:jc w:val="center"/>
              <w:ind w:left="1097"/>
              <w:spacing w:after="0"/>
              <w:rPr>
                <w:sz w:val="20"/>
                <w:szCs w:val="20"/>
                <w:color w:val="auto"/>
              </w:rPr>
            </w:pPr>
            <w:r>
              <w:rPr>
                <w:rFonts w:ascii="Arial" w:cs="Arial" w:eastAsia="Arial" w:hAnsi="Arial"/>
                <w:sz w:val="17"/>
                <w:szCs w:val="17"/>
                <w:color w:val="auto"/>
                <w:w w:val="87"/>
              </w:rPr>
              <w:t>550,310 (8.9%)</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6410 Poplar Avenue, Suite 900</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Memphis, TN</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 xml:space="preserve">International Value Advisers, LLC </w:t>
            </w:r>
            <w:r>
              <w:rPr>
                <w:rFonts w:ascii="Arial" w:cs="Arial" w:eastAsia="Arial" w:hAnsi="Arial"/>
                <w:sz w:val="13"/>
                <w:szCs w:val="13"/>
                <w:color w:val="auto"/>
              </w:rPr>
              <w:t>(i)</w:t>
            </w:r>
          </w:p>
        </w:tc>
        <w:tc>
          <w:tcPr>
            <w:tcW w:w="2220" w:type="dxa"/>
            <w:vAlign w:val="bottom"/>
          </w:tcPr>
          <w:p>
            <w:pPr>
              <w:spacing w:after="0"/>
              <w:rPr>
                <w:sz w:val="18"/>
                <w:szCs w:val="18"/>
                <w:color w:val="auto"/>
              </w:rPr>
            </w:pPr>
          </w:p>
        </w:tc>
        <w:tc>
          <w:tcPr>
            <w:tcW w:w="2040" w:type="dxa"/>
            <w:vAlign w:val="bottom"/>
          </w:tcPr>
          <w:p>
            <w:pPr>
              <w:jc w:val="center"/>
              <w:ind w:left="397"/>
              <w:spacing w:after="0"/>
              <w:rPr>
                <w:sz w:val="20"/>
                <w:szCs w:val="20"/>
                <w:color w:val="auto"/>
              </w:rPr>
            </w:pPr>
            <w:r>
              <w:rPr>
                <w:rFonts w:ascii="Arial" w:cs="Arial" w:eastAsia="Arial" w:hAnsi="Arial"/>
                <w:sz w:val="17"/>
                <w:szCs w:val="17"/>
                <w:color w:val="auto"/>
                <w:w w:val="84"/>
              </w:rPr>
              <w:t>–</w:t>
            </w:r>
          </w:p>
        </w:tc>
        <w:tc>
          <w:tcPr>
            <w:tcW w:w="2720" w:type="dxa"/>
            <w:vAlign w:val="bottom"/>
            <w:gridSpan w:val="3"/>
          </w:tcPr>
          <w:p>
            <w:pPr>
              <w:jc w:val="center"/>
              <w:ind w:left="1097"/>
              <w:spacing w:after="0"/>
              <w:rPr>
                <w:sz w:val="20"/>
                <w:szCs w:val="20"/>
                <w:color w:val="auto"/>
              </w:rPr>
            </w:pPr>
            <w:r>
              <w:rPr>
                <w:rFonts w:ascii="Arial" w:cs="Arial" w:eastAsia="Arial" w:hAnsi="Arial"/>
                <w:sz w:val="17"/>
                <w:szCs w:val="17"/>
                <w:color w:val="auto"/>
                <w:w w:val="87"/>
              </w:rPr>
              <w:t>442,173 (7.2%)</w:t>
            </w: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717 Fifth Avenue, 10th Floor</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gridSpan w:val="2"/>
          </w:tcPr>
          <w:p>
            <w:pPr>
              <w:ind w:left="440"/>
              <w:spacing w:after="0"/>
              <w:rPr>
                <w:sz w:val="20"/>
                <w:szCs w:val="20"/>
                <w:color w:val="auto"/>
              </w:rPr>
            </w:pPr>
            <w:r>
              <w:rPr>
                <w:rFonts w:ascii="Arial" w:cs="Arial" w:eastAsia="Arial" w:hAnsi="Arial"/>
                <w:sz w:val="17"/>
                <w:szCs w:val="17"/>
                <w:color w:val="auto"/>
              </w:rPr>
              <w:t>New York, NY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9"/>
        <w:spacing w:after="0"/>
        <w:rPr>
          <w:sz w:val="20"/>
          <w:szCs w:val="20"/>
          <w:color w:val="auto"/>
        </w:rPr>
      </w:pPr>
      <w:r>
        <w:rPr>
          <w:rFonts w:ascii="Arial" w:cs="Arial" w:eastAsia="Arial" w:hAnsi="Arial"/>
          <w:sz w:val="12"/>
          <w:szCs w:val="12"/>
          <w:color w:val="auto"/>
        </w:rPr>
        <w:t>_____________</w:t>
      </w:r>
    </w:p>
    <w:p>
      <w:pPr>
        <w:spacing w:after="0" w:line="135" w:lineRule="exact"/>
        <w:rPr>
          <w:sz w:val="20"/>
          <w:szCs w:val="20"/>
          <w:color w:val="auto"/>
        </w:rPr>
      </w:pPr>
    </w:p>
    <w:p>
      <w:pPr>
        <w:jc w:val="both"/>
        <w:ind w:left="9" w:hanging="9"/>
        <w:spacing w:after="0" w:line="249" w:lineRule="auto"/>
        <w:tabs>
          <w:tab w:leader="none" w:pos="133"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calculations set forth in this table relating to percentage ownership of Class B Stock include 1,219,383 shares of Class B Stock issuable upon conversion of shares of Class A Stock beneficially owned, with the exce Southeastern Asset Management and International Value Advisers. The percentage calculation for Southeastern Asset Management and International Value Advisers does not include the conversion of Class A shares to Cl shares.</w:t>
      </w:r>
    </w:p>
    <w:p>
      <w:pPr>
        <w:spacing w:after="0" w:line="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44" w:right="13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 Less than 5%.</w:t>
      </w:r>
    </w:p>
    <w:p>
      <w:pPr>
        <w:spacing w:after="0" w:line="135" w:lineRule="exact"/>
        <w:rPr>
          <w:sz w:val="20"/>
          <w:szCs w:val="20"/>
          <w:color w:val="auto"/>
        </w:rPr>
      </w:pPr>
    </w:p>
    <w:p>
      <w:pPr>
        <w:ind w:left="280" w:firstLine="9"/>
        <w:spacing w:after="0" w:line="269" w:lineRule="auto"/>
        <w:tabs>
          <w:tab w:leader="none" w:pos="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According to information as of February 1, 2013, and available to the Company, Mr. Donald Graham has voting and investment power with respect to shares of Class A Stock as follows: sole voting and inves power, 166,240 (13.6%); and shared voting and investment power, 1,013,397 (83.1%) shares.</w:t>
      </w:r>
    </w:p>
    <w:p>
      <w:pPr>
        <w:spacing w:after="0" w:line="100" w:lineRule="exact"/>
        <w:rPr>
          <w:sz w:val="20"/>
          <w:szCs w:val="20"/>
          <w:color w:val="auto"/>
        </w:rPr>
      </w:pPr>
    </w:p>
    <w:p>
      <w:pPr>
        <w:jc w:val="both"/>
        <w:ind w:left="280"/>
        <w:spacing w:after="0" w:line="269" w:lineRule="auto"/>
        <w:rPr>
          <w:sz w:val="20"/>
          <w:szCs w:val="20"/>
          <w:color w:val="auto"/>
        </w:rPr>
      </w:pPr>
      <w:r>
        <w:rPr>
          <w:rFonts w:ascii="Arial" w:cs="Arial" w:eastAsia="Arial" w:hAnsi="Arial"/>
          <w:sz w:val="12"/>
          <w:szCs w:val="12"/>
          <w:color w:val="auto"/>
        </w:rPr>
        <w:t>Mr. Graham also has voting and investment power with respect to shares of Class B Stock as follows: sole voting and investment power, 3,600 (&lt;1%) shares; shared voting and investment power 32,700 (&lt;1%) share 1,179,637 (15.9%) shares issuable upon conversion of shares of Class A Stock deemed to be beneficially owned by Mr. Graham.</w:t>
      </w:r>
    </w:p>
    <w:p>
      <w:pPr>
        <w:spacing w:after="0" w:line="100" w:lineRule="exact"/>
        <w:rPr>
          <w:sz w:val="20"/>
          <w:szCs w:val="20"/>
          <w:color w:val="auto"/>
        </w:rPr>
      </w:pPr>
    </w:p>
    <w:p>
      <w:pPr>
        <w:jc w:val="both"/>
        <w:ind w:left="280"/>
        <w:spacing w:after="0" w:line="253" w:lineRule="auto"/>
        <w:rPr>
          <w:sz w:val="20"/>
          <w:szCs w:val="20"/>
          <w:color w:val="auto"/>
        </w:rPr>
      </w:pPr>
      <w:r>
        <w:rPr>
          <w:rFonts w:ascii="Arial" w:cs="Arial" w:eastAsia="Arial" w:hAnsi="Arial"/>
          <w:sz w:val="12"/>
          <w:szCs w:val="12"/>
          <w:color w:val="auto"/>
        </w:rPr>
        <w:t>The holdings of Class B Stock recorded for Mr. Graham also include shares of Class B Stock owned by subsidiaries of Berkshire Hathaway Inc. (“Berkshire”), which have the sole investment power of the shares; so power is held by Mr. Donald Graham under an agreement dated February 25, 1977, and amended and extended on September 13, 1985, May 15, 1996, and July 6, 2006, which has a termination date (which may be of February 24, 2017.</w:t>
      </w:r>
    </w:p>
    <w:p>
      <w:pPr>
        <w:spacing w:after="0" w:line="110" w:lineRule="exact"/>
        <w:rPr>
          <w:sz w:val="20"/>
          <w:szCs w:val="20"/>
          <w:color w:val="auto"/>
        </w:rPr>
      </w:pPr>
    </w:p>
    <w:p>
      <w:pPr>
        <w:ind w:left="280" w:firstLine="9"/>
        <w:spacing w:after="0" w:line="268" w:lineRule="auto"/>
        <w:tabs>
          <w:tab w:leader="none" w:pos="62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According to information as of February 1, 2013, and available to the Company, Mr. William Graham has voting and investment power with respect to shares of Class A Stock as follows: shared voting and in power, 41,269 (3.4%) shares. In addition, Mr. William Graham, as the beneficiary of trusts (even though he has no voting or investment power with respect thereto) is deemed to be the beneficial owner of 96,000</w:t>
      </w:r>
    </w:p>
    <w:p>
      <w:pPr>
        <w:ind w:left="280" w:right="20"/>
        <w:spacing w:after="0" w:line="252" w:lineRule="auto"/>
        <w:rPr>
          <w:rFonts w:ascii="Arial" w:cs="Arial" w:eastAsia="Arial" w:hAnsi="Arial"/>
          <w:sz w:val="11"/>
          <w:szCs w:val="11"/>
          <w:color w:val="auto"/>
        </w:rPr>
      </w:pPr>
      <w:r>
        <w:rPr>
          <w:rFonts w:ascii="Arial" w:cs="Arial" w:eastAsia="Arial" w:hAnsi="Arial"/>
          <w:sz w:val="12"/>
          <w:szCs w:val="12"/>
          <w:color w:val="auto"/>
        </w:rPr>
        <w:t>(7.8%) shares of Class A Stock. The holdings of Class B Stock recorded for Mr. William Graham, including shares issuable upon conversion of shares of Class A Stock deemed to be beneficially owned by Mr. Grah less than 5%.</w:t>
      </w:r>
    </w:p>
    <w:p>
      <w:pPr>
        <w:spacing w:after="0" w:line="109" w:lineRule="exact"/>
        <w:rPr>
          <w:rFonts w:ascii="Arial" w:cs="Arial" w:eastAsia="Arial" w:hAnsi="Arial"/>
          <w:sz w:val="11"/>
          <w:szCs w:val="11"/>
          <w:color w:val="auto"/>
        </w:rPr>
      </w:pPr>
    </w:p>
    <w:p>
      <w:pPr>
        <w:ind w:left="280" w:firstLine="9"/>
        <w:spacing w:after="0" w:line="248" w:lineRule="auto"/>
        <w:tabs>
          <w:tab w:leader="none" w:pos="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According to information as of February 1, 2013, and available to the Company, Mr. Stephen Graham has voting and investment power with respect to shares of Class A Stock as follows: shared voting and in power, 42,783 (3.5%) shares. In addition, Mr. Stephen Graham, as the beneficiary of trusts (even though he has no voting or investment power with respect thereto) is deemed to be the beneficial owner of 105,159 (8.6%) shares of Class A Stock. The holdings of Class B Stock recorded for Mr. Stephen Graham, including shares issuable upon conversion of shares of Class A Stock deemed to be beneficially owned by Mr. Grah less than 5%.</w:t>
      </w:r>
    </w:p>
    <w:p>
      <w:pPr>
        <w:spacing w:after="0" w:line="112" w:lineRule="exact"/>
        <w:rPr>
          <w:rFonts w:ascii="Arial" w:cs="Arial" w:eastAsia="Arial" w:hAnsi="Arial"/>
          <w:sz w:val="12"/>
          <w:szCs w:val="12"/>
          <w:color w:val="auto"/>
        </w:rPr>
      </w:pPr>
    </w:p>
    <w:p>
      <w:pPr>
        <w:jc w:val="both"/>
        <w:ind w:left="280" w:firstLine="9"/>
        <w:spacing w:after="0" w:line="248" w:lineRule="auto"/>
        <w:tabs>
          <w:tab w:leader="none" w:pos="627"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According to information as of February 1, 2013, and available to the Company, Mrs. Elizabeth Weymouth has voting and investment power with respect to shares of Class A Stock as follows: sole voting and investment power, 10,126 (0.8%) shares; and shared voting and investment power, 241,206 (19.6%) shares. In addition, Mrs. Weymouth, as the beneficiary of a trust (even though she has no voting or investment po respect thereto) is deemed to be the beneficial owner of 69,625 (5.7%) shares of Class A Stock. The holdings of Class B Stock recorded for Mrs. Weymouth, including shares issuable upon conversion of shares of Cl Stock deemed to be beneficially owned by Mrs. Weymouth, are less than 5%.</w:t>
      </w:r>
    </w:p>
    <w:p>
      <w:pPr>
        <w:spacing w:after="0" w:line="112" w:lineRule="exact"/>
        <w:rPr>
          <w:rFonts w:ascii="Arial" w:cs="Arial" w:eastAsia="Arial" w:hAnsi="Arial"/>
          <w:sz w:val="12"/>
          <w:szCs w:val="12"/>
          <w:color w:val="auto"/>
        </w:rPr>
      </w:pPr>
    </w:p>
    <w:p>
      <w:pPr>
        <w:jc w:val="both"/>
        <w:ind w:left="280" w:firstLine="9"/>
        <w:spacing w:after="0" w:line="287" w:lineRule="auto"/>
        <w:tabs>
          <w:tab w:leader="none" w:pos="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According to information as of February 1, 2013, and available to the Company, Mr. George J. Gillespie III, as a Trustee of various trusts, has voting and investment power with respect to shares of Class A St follows: shared voting and investment power, 224,384 (18.4%) shares. In addition, Mr. Gillespie has voting and investment power with respect to shares of Class B Stock as follows: shared voting and investment po 39,594 (&lt;1%) shares. The holdings of Class B Stock recorded for Mr. Gillespie, including shares issuable upon conversion of shares of Class A Stock deemed to be beneficially owned by Mr. Gillespie, are less than</w:t>
      </w:r>
    </w:p>
    <w:p>
      <w:pPr>
        <w:spacing w:after="0" w:line="92" w:lineRule="exact"/>
        <w:rPr>
          <w:rFonts w:ascii="Arial" w:cs="Arial" w:eastAsia="Arial" w:hAnsi="Arial"/>
          <w:sz w:val="11"/>
          <w:szCs w:val="11"/>
          <w:color w:val="auto"/>
        </w:rPr>
      </w:pPr>
    </w:p>
    <w:p>
      <w:pPr>
        <w:jc w:val="both"/>
        <w:ind w:left="280" w:firstLine="9"/>
        <w:spacing w:after="0" w:line="248" w:lineRule="auto"/>
        <w:tabs>
          <w:tab w:leader="none" w:pos="635"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According to information as of February 1, 2013, and available to the Company, Mr. Daniel Mosley, as a Trustee of various trusts, has voting and investment power with respect to shares of Class A Stock as f shared voting and investment power, 813,233 (66.7%) shares. In addition, Mr. Mosley has voting and investment power with respect to shares of Class B Stock as follows: shared voting and investment power, 28,54 (&lt;1%) shares. The holdings of Class B Stock recorded for Mr. Mosley include 813,233 (10.9%) shares issuable upon conversion of shares of Class A Stock deemed to be beneficially owned by Mr. Mosley as a Trust various trusts.</w:t>
      </w:r>
    </w:p>
    <w:p>
      <w:pPr>
        <w:spacing w:after="0" w:line="112" w:lineRule="exact"/>
        <w:rPr>
          <w:rFonts w:ascii="Arial" w:cs="Arial" w:eastAsia="Arial" w:hAnsi="Arial"/>
          <w:sz w:val="12"/>
          <w:szCs w:val="12"/>
          <w:color w:val="auto"/>
        </w:rPr>
      </w:pPr>
    </w:p>
    <w:p>
      <w:pPr>
        <w:jc w:val="both"/>
        <w:ind w:left="280" w:firstLine="9"/>
        <w:spacing w:after="0" w:line="273" w:lineRule="auto"/>
        <w:tabs>
          <w:tab w:leader="none" w:pos="62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According to information as of February 1, 2013, and available to the Company, Berkshire is the beneficial owner of 1,727,765 (23.3%) shares of Class B Stock. The ownership of these shares is through seve subsidiaries of Berkshire. Mr. Warren Buffett is Chairman of the Board of Berkshire. Mr. Buffett owns approximately 21.4%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 considered to share investment power. Pursuant to an agreement dated February 25, 1977, and amended and extended on September 13, 1985, May 15, 1996, and July 6, 2006, which has a termination date (which m extended) of February 24, 2017, Mr. Buffett, Berkshire and such subsidiaries have granted Mr. Donald Graham a proxy to vote such shares at his discretion.</w:t>
      </w:r>
    </w:p>
    <w:p>
      <w:pPr>
        <w:spacing w:after="0" w:line="99" w:lineRule="exact"/>
        <w:rPr>
          <w:rFonts w:ascii="Arial" w:cs="Arial" w:eastAsia="Arial" w:hAnsi="Arial"/>
          <w:sz w:val="11"/>
          <w:szCs w:val="11"/>
          <w:color w:val="auto"/>
        </w:rPr>
      </w:pPr>
    </w:p>
    <w:p>
      <w:pPr>
        <w:ind w:left="280" w:firstLine="9"/>
        <w:spacing w:after="0" w:line="278" w:lineRule="auto"/>
        <w:tabs>
          <w:tab w:leader="none" w:pos="62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According to a Schedule 13G filed on February 14, 2013, Southeastern Asset Management (“Southeastern Asset”), an investment adviser, was deemed to be the beneficial owner of 550,310 (8.9%) shares of Stock. According to the Schedule 13G, Southeastern Asset has sole voting power over 117,410 (1.9%) shares; shared voting power over 428,000 (6.9%) shares; no voting power over 4,900 (&lt;1%) shares; sole dispos power over 122,310 (2.0%) shares; and shared dispositive power over 428,000 (6.9%) shares. The Schedule 13G was filed jointly with Longleaf Partners Small-Cap Fund (an investment company) and Mr. O. Maso Hawkins, Chairman and Chief Executive Officer of Southeastern Asset, Longleaf Partners Small-Cap Fund has shared voting power over 428,000 (6.9%) shares according to the Schedule 13G.</w:t>
      </w:r>
    </w:p>
    <w:p>
      <w:pPr>
        <w:spacing w:after="0" w:line="96" w:lineRule="exact"/>
        <w:rPr>
          <w:rFonts w:ascii="Arial" w:cs="Arial" w:eastAsia="Arial" w:hAnsi="Arial"/>
          <w:sz w:val="11"/>
          <w:szCs w:val="11"/>
          <w:color w:val="auto"/>
        </w:rPr>
      </w:pPr>
    </w:p>
    <w:p>
      <w:pPr>
        <w:ind w:left="280" w:firstLine="9"/>
        <w:spacing w:after="0" w:line="279" w:lineRule="auto"/>
        <w:tabs>
          <w:tab w:leader="none" w:pos="629" w:val="left"/>
        </w:tabs>
        <w:numPr>
          <w:ilvl w:val="0"/>
          <w:numId w:val="23"/>
        </w:numPr>
        <w:rPr>
          <w:rFonts w:ascii="Arial" w:cs="Arial" w:eastAsia="Arial" w:hAnsi="Arial"/>
          <w:sz w:val="11"/>
          <w:szCs w:val="11"/>
          <w:color w:val="auto"/>
        </w:rPr>
      </w:pPr>
      <w:r>
        <w:rPr>
          <w:rFonts w:ascii="Arial" w:cs="Arial" w:eastAsia="Arial" w:hAnsi="Arial"/>
          <w:sz w:val="11"/>
          <w:szCs w:val="11"/>
          <w:color w:val="auto"/>
        </w:rPr>
        <w:t>According to a Schedule 13G filed on February 13, 2013, International Value Advisers, LLC (“International Value Advisers”), an investment adviser, was deemed to be the beneficial owner of 442,173 (7.2%) of Class B Stock. According to the Schedule 13G, International Value Advisers has sole voting power over 415,854 (6.8%) shares and sole dispositive power over 442,173 (7.2%) shares.</w:t>
      </w:r>
    </w:p>
    <w:p>
      <w:pPr>
        <w:jc w:val="center"/>
        <w:ind w:left="1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88" w:right="139" w:bottom="1440" w:gutter="0" w:footer="0" w:header="0"/>
        </w:sectPr>
      </w:pPr>
    </w:p>
    <w:bookmarkStart w:id="16" w:name="page17"/>
    <w:bookmarkEnd w:id="16"/>
    <w:p>
      <w:pPr>
        <w:jc w:val="both"/>
        <w:ind w:left="9" w:firstLine="596"/>
        <w:spacing w:after="0" w:line="267" w:lineRule="auto"/>
        <w:rPr>
          <w:sz w:val="20"/>
          <w:szCs w:val="20"/>
          <w:color w:val="auto"/>
        </w:rPr>
      </w:pPr>
      <w:r>
        <w:rPr>
          <w:rFonts w:ascii="Arial" w:cs="Arial" w:eastAsia="Arial" w:hAnsi="Arial"/>
          <w:sz w:val="16"/>
          <w:szCs w:val="16"/>
          <w:color w:val="auto"/>
        </w:rPr>
        <w:t>The table below, which is based on information furnished to the Company by its Directors and officers, shows as of February 1, 2013, for each person nomin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 nature of such “beneficial ownership.” For the reasons set forth in the first paragraph of this section of the Proxy Statement, there is very substantial duplication in th numbers of shares and percentages shown in the following table.</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3580" w:type="dxa"/>
            <w:vAlign w:val="bottom"/>
            <w:gridSpan w:val="3"/>
          </w:tcPr>
          <w:p>
            <w:pPr>
              <w:jc w:val="right"/>
              <w:ind w:right="397"/>
              <w:spacing w:after="0"/>
              <w:rPr>
                <w:sz w:val="20"/>
                <w:szCs w:val="20"/>
                <w:color w:val="auto"/>
              </w:rPr>
            </w:pPr>
            <w:r>
              <w:rPr>
                <w:rFonts w:ascii="Arial" w:cs="Arial" w:eastAsia="Arial" w:hAnsi="Arial"/>
                <w:sz w:val="17"/>
                <w:szCs w:val="17"/>
                <w:b w:val="1"/>
                <w:bCs w:val="1"/>
                <w:color w:val="auto"/>
              </w:rPr>
              <w:t>Holdings of Directors and Officers*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423"/>
        </w:trPr>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Shares (%)</w:t>
            </w:r>
          </w:p>
        </w:tc>
      </w:tr>
      <w:tr>
        <w:trPr>
          <w:trHeight w:val="204"/>
        </w:trPr>
        <w:tc>
          <w:tcPr>
            <w:tcW w:w="3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8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7"/>
                <w:szCs w:val="17"/>
                <w:b w:val="1"/>
                <w:bCs w:val="1"/>
                <w:color w:val="auto"/>
              </w:rPr>
              <w:t>Class A</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Class B(a)</w:t>
            </w:r>
          </w:p>
        </w:tc>
      </w:tr>
      <w:tr>
        <w:trPr>
          <w:trHeight w:val="194"/>
        </w:trPr>
        <w:tc>
          <w:tcPr>
            <w:tcW w:w="3860" w:type="dxa"/>
            <w:vAlign w:val="bottom"/>
          </w:tcPr>
          <w:p>
            <w:pPr>
              <w:spacing w:after="0"/>
              <w:rPr>
                <w:sz w:val="20"/>
                <w:szCs w:val="20"/>
                <w:color w:val="auto"/>
              </w:rPr>
            </w:pPr>
            <w:r>
              <w:rPr>
                <w:rFonts w:ascii="Arial" w:cs="Arial" w:eastAsia="Arial" w:hAnsi="Arial"/>
                <w:sz w:val="17"/>
                <w:szCs w:val="17"/>
                <w:color w:val="auto"/>
              </w:rPr>
              <w:t>Lee C. Bollinger^</w:t>
            </w:r>
          </w:p>
        </w:tc>
        <w:tc>
          <w:tcPr>
            <w:tcW w:w="1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84"/>
              </w:rPr>
              <w:t>–</w:t>
            </w:r>
          </w:p>
        </w:tc>
      </w:tr>
      <w:tr>
        <w:trPr>
          <w:trHeight w:val="236"/>
        </w:trPr>
        <w:tc>
          <w:tcPr>
            <w:tcW w:w="3860" w:type="dxa"/>
            <w:vAlign w:val="bottom"/>
          </w:tcPr>
          <w:p>
            <w:pPr>
              <w:spacing w:after="0"/>
              <w:rPr>
                <w:sz w:val="20"/>
                <w:szCs w:val="20"/>
                <w:color w:val="auto"/>
              </w:rPr>
            </w:pPr>
            <w:r>
              <w:rPr>
                <w:rFonts w:ascii="Arial" w:cs="Arial" w:eastAsia="Arial" w:hAnsi="Arial"/>
                <w:sz w:val="17"/>
                <w:szCs w:val="17"/>
                <w:color w:val="auto"/>
              </w:rPr>
              <w:t>Christopher C. Davis^</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5,000 </w:t>
            </w:r>
            <w:r>
              <w:rPr>
                <w:rFonts w:ascii="Arial" w:cs="Arial" w:eastAsia="Arial" w:hAnsi="Arial"/>
                <w:sz w:val="24"/>
                <w:szCs w:val="24"/>
                <w:color w:val="auto"/>
                <w:w w:val="83"/>
                <w:vertAlign w:val="superscript"/>
              </w:rPr>
              <w:t>(b)</w:t>
            </w:r>
          </w:p>
        </w:tc>
      </w:tr>
      <w:tr>
        <w:trPr>
          <w:trHeight w:val="236"/>
        </w:trPr>
        <w:tc>
          <w:tcPr>
            <w:tcW w:w="3860" w:type="dxa"/>
            <w:vAlign w:val="bottom"/>
          </w:tcPr>
          <w:p>
            <w:pPr>
              <w:spacing w:after="0"/>
              <w:rPr>
                <w:sz w:val="20"/>
                <w:szCs w:val="20"/>
                <w:color w:val="auto"/>
              </w:rPr>
            </w:pPr>
            <w:r>
              <w:rPr>
                <w:rFonts w:ascii="Arial" w:cs="Arial" w:eastAsia="Arial" w:hAnsi="Arial"/>
                <w:sz w:val="17"/>
                <w:szCs w:val="17"/>
                <w:color w:val="auto"/>
              </w:rPr>
              <w:t>Barry Diller^</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1,000 </w:t>
            </w:r>
            <w:r>
              <w:rPr>
                <w:rFonts w:ascii="Arial" w:cs="Arial" w:eastAsia="Arial" w:hAnsi="Arial"/>
                <w:sz w:val="24"/>
                <w:szCs w:val="24"/>
                <w:color w:val="auto"/>
                <w:w w:val="83"/>
                <w:vertAlign w:val="superscript"/>
              </w:rPr>
              <w:t>(b)</w:t>
            </w:r>
          </w:p>
        </w:tc>
      </w:tr>
      <w:tr>
        <w:trPr>
          <w:trHeight w:val="236"/>
        </w:trPr>
        <w:tc>
          <w:tcPr>
            <w:tcW w:w="3860" w:type="dxa"/>
            <w:vAlign w:val="bottom"/>
          </w:tcPr>
          <w:p>
            <w:pPr>
              <w:spacing w:after="0" w:line="236" w:lineRule="exact"/>
              <w:rPr>
                <w:sz w:val="20"/>
                <w:szCs w:val="20"/>
                <w:color w:val="auto"/>
              </w:rPr>
            </w:pPr>
            <w:r>
              <w:rPr>
                <w:rFonts w:ascii="Arial" w:cs="Arial" w:eastAsia="Arial" w:hAnsi="Arial"/>
                <w:sz w:val="17"/>
                <w:szCs w:val="17"/>
                <w:color w:val="auto"/>
              </w:rPr>
              <w:t>Veronica Dillon</w:t>
            </w:r>
            <w:r>
              <w:rPr>
                <w:rFonts w:ascii="Arial" w:cs="Arial" w:eastAsia="Arial" w:hAnsi="Arial"/>
                <w:sz w:val="24"/>
                <w:szCs w:val="24"/>
                <w:color w:val="auto"/>
                <w:vertAlign w:val="superscript"/>
              </w:rPr>
              <w:t>+(c)</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3,650 </w:t>
            </w:r>
            <w:r>
              <w:rPr>
                <w:rFonts w:ascii="Arial" w:cs="Arial" w:eastAsia="Arial" w:hAnsi="Arial"/>
                <w:sz w:val="24"/>
                <w:szCs w:val="24"/>
                <w:color w:val="auto"/>
                <w:w w:val="83"/>
                <w:vertAlign w:val="superscript"/>
              </w:rPr>
              <w:t>(b)</w:t>
            </w:r>
          </w:p>
        </w:tc>
      </w:tr>
      <w:tr>
        <w:trPr>
          <w:trHeight w:val="232"/>
        </w:trPr>
        <w:tc>
          <w:tcPr>
            <w:tcW w:w="3860" w:type="dxa"/>
            <w:vAlign w:val="bottom"/>
          </w:tcPr>
          <w:p>
            <w:pPr>
              <w:spacing w:after="0" w:line="232" w:lineRule="exact"/>
              <w:rPr>
                <w:sz w:val="20"/>
                <w:szCs w:val="20"/>
                <w:color w:val="auto"/>
              </w:rPr>
            </w:pPr>
            <w:r>
              <w:rPr>
                <w:rFonts w:ascii="Arial" w:cs="Arial" w:eastAsia="Arial" w:hAnsi="Arial"/>
                <w:sz w:val="17"/>
                <w:szCs w:val="17"/>
                <w:color w:val="auto"/>
              </w:rPr>
              <w:t>Thomas S. Gayner^</w:t>
            </w:r>
            <w:r>
              <w:rPr>
                <w:rFonts w:ascii="Arial" w:cs="Arial" w:eastAsia="Arial" w:hAnsi="Arial"/>
                <w:sz w:val="24"/>
                <w:szCs w:val="24"/>
                <w:color w:val="auto"/>
                <w:vertAlign w:val="superscript"/>
              </w:rPr>
              <w:t>(d)</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2" w:lineRule="exact"/>
              <w:rPr>
                <w:sz w:val="20"/>
                <w:szCs w:val="20"/>
                <w:color w:val="auto"/>
              </w:rPr>
            </w:pPr>
            <w:r>
              <w:rPr>
                <w:rFonts w:ascii="Arial" w:cs="Arial" w:eastAsia="Arial" w:hAnsi="Arial"/>
                <w:sz w:val="17"/>
                <w:szCs w:val="17"/>
                <w:color w:val="auto"/>
                <w:w w:val="83"/>
              </w:rPr>
              <w:t xml:space="preserve">5,300 </w:t>
            </w:r>
            <w:r>
              <w:rPr>
                <w:rFonts w:ascii="Arial" w:cs="Arial" w:eastAsia="Arial" w:hAnsi="Arial"/>
                <w:sz w:val="24"/>
                <w:szCs w:val="24"/>
                <w:color w:val="auto"/>
                <w:w w:val="83"/>
                <w:vertAlign w:val="superscript"/>
              </w:rPr>
              <w:t>(b)</w:t>
            </w:r>
          </w:p>
        </w:tc>
      </w:tr>
      <w:tr>
        <w:trPr>
          <w:trHeight w:val="202"/>
        </w:trPr>
        <w:tc>
          <w:tcPr>
            <w:tcW w:w="3860" w:type="dxa"/>
            <w:vAlign w:val="bottom"/>
          </w:tcPr>
          <w:p>
            <w:pPr>
              <w:spacing w:after="0"/>
              <w:rPr>
                <w:sz w:val="20"/>
                <w:szCs w:val="20"/>
                <w:color w:val="auto"/>
              </w:rPr>
            </w:pPr>
            <w:r>
              <w:rPr>
                <w:rFonts w:ascii="Arial" w:cs="Arial" w:eastAsia="Arial" w:hAnsi="Arial"/>
                <w:sz w:val="17"/>
                <w:szCs w:val="17"/>
                <w:color w:val="auto"/>
              </w:rPr>
              <w:t>David Goldberg^</w:t>
            </w:r>
          </w:p>
        </w:tc>
        <w:tc>
          <w:tcPr>
            <w:tcW w:w="1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84"/>
              </w:rPr>
              <w:t>–</w:t>
            </w:r>
          </w:p>
        </w:tc>
      </w:tr>
      <w:tr>
        <w:trPr>
          <w:trHeight w:val="236"/>
        </w:trPr>
        <w:tc>
          <w:tcPr>
            <w:tcW w:w="3860" w:type="dxa"/>
            <w:vAlign w:val="bottom"/>
          </w:tcPr>
          <w:p>
            <w:pPr>
              <w:spacing w:after="0" w:line="236" w:lineRule="exact"/>
              <w:rPr>
                <w:sz w:val="20"/>
                <w:szCs w:val="20"/>
                <w:color w:val="auto"/>
              </w:rPr>
            </w:pPr>
            <w:r>
              <w:rPr>
                <w:rFonts w:ascii="Arial" w:cs="Arial" w:eastAsia="Arial" w:hAnsi="Arial"/>
                <w:sz w:val="17"/>
                <w:szCs w:val="17"/>
                <w:color w:val="auto"/>
              </w:rPr>
              <w:t>Donald E. Graham^</w:t>
            </w:r>
            <w:r>
              <w:rPr>
                <w:rFonts w:ascii="Arial" w:cs="Arial" w:eastAsia="Arial" w:hAnsi="Arial"/>
                <w:sz w:val="24"/>
                <w:szCs w:val="24"/>
                <w:color w:val="auto"/>
                <w:vertAlign w:val="superscript"/>
              </w:rPr>
              <w:t>+(e)</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1,179,637</w:t>
            </w:r>
          </w:p>
        </w:tc>
        <w:tc>
          <w:tcPr>
            <w:tcW w:w="800" w:type="dxa"/>
            <w:vAlign w:val="bottom"/>
          </w:tcPr>
          <w:p>
            <w:pPr>
              <w:jc w:val="right"/>
              <w:ind w:right="177"/>
              <w:spacing w:after="0"/>
              <w:rPr>
                <w:sz w:val="20"/>
                <w:szCs w:val="20"/>
                <w:color w:val="auto"/>
              </w:rPr>
            </w:pPr>
            <w:r>
              <w:rPr>
                <w:rFonts w:ascii="Arial" w:cs="Arial" w:eastAsia="Arial" w:hAnsi="Arial"/>
                <w:sz w:val="17"/>
                <w:szCs w:val="17"/>
                <w:color w:val="auto"/>
                <w:w w:val="87"/>
              </w:rPr>
              <w:t>(96.7%)</w:t>
            </w:r>
          </w:p>
        </w:tc>
        <w:tc>
          <w:tcPr>
            <w:tcW w:w="3500" w:type="dxa"/>
            <w:vAlign w:val="bottom"/>
            <w:gridSpan w:val="3"/>
          </w:tcPr>
          <w:p>
            <w:pPr>
              <w:jc w:val="center"/>
              <w:ind w:left="737"/>
              <w:spacing w:after="0"/>
              <w:rPr>
                <w:sz w:val="20"/>
                <w:szCs w:val="20"/>
                <w:color w:val="auto"/>
              </w:rPr>
            </w:pPr>
            <w:r>
              <w:rPr>
                <w:rFonts w:ascii="Arial" w:cs="Arial" w:eastAsia="Arial" w:hAnsi="Arial"/>
                <w:sz w:val="17"/>
                <w:szCs w:val="17"/>
                <w:color w:val="auto"/>
                <w:w w:val="88"/>
              </w:rPr>
              <w:t>2,943,702 (39.6%)</w:t>
            </w:r>
          </w:p>
        </w:tc>
      </w:tr>
      <w:tr>
        <w:trPr>
          <w:trHeight w:val="236"/>
        </w:trPr>
        <w:tc>
          <w:tcPr>
            <w:tcW w:w="3860" w:type="dxa"/>
            <w:vAlign w:val="bottom"/>
          </w:tcPr>
          <w:p>
            <w:pPr>
              <w:spacing w:after="0" w:line="236" w:lineRule="exact"/>
              <w:rPr>
                <w:sz w:val="20"/>
                <w:szCs w:val="20"/>
                <w:color w:val="auto"/>
              </w:rPr>
            </w:pPr>
            <w:r>
              <w:rPr>
                <w:rFonts w:ascii="Arial" w:cs="Arial" w:eastAsia="Arial" w:hAnsi="Arial"/>
                <w:sz w:val="17"/>
                <w:szCs w:val="17"/>
                <w:color w:val="auto"/>
              </w:rPr>
              <w:t>Hal S. Jones</w:t>
            </w:r>
            <w:r>
              <w:rPr>
                <w:rFonts w:ascii="Arial" w:cs="Arial" w:eastAsia="Arial" w:hAnsi="Arial"/>
                <w:sz w:val="24"/>
                <w:szCs w:val="24"/>
                <w:color w:val="auto"/>
                <w:vertAlign w:val="superscript"/>
              </w:rPr>
              <w:t>+(f)</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5,975 </w:t>
            </w:r>
            <w:r>
              <w:rPr>
                <w:rFonts w:ascii="Arial" w:cs="Arial" w:eastAsia="Arial" w:hAnsi="Arial"/>
                <w:sz w:val="24"/>
                <w:szCs w:val="24"/>
                <w:color w:val="auto"/>
                <w:w w:val="83"/>
                <w:vertAlign w:val="superscript"/>
              </w:rPr>
              <w:t>(b)</w:t>
            </w:r>
          </w:p>
        </w:tc>
      </w:tr>
      <w:tr>
        <w:trPr>
          <w:trHeight w:val="232"/>
        </w:trPr>
        <w:tc>
          <w:tcPr>
            <w:tcW w:w="3860" w:type="dxa"/>
            <w:vAlign w:val="bottom"/>
          </w:tcPr>
          <w:p>
            <w:pPr>
              <w:spacing w:after="0" w:line="232" w:lineRule="exact"/>
              <w:rPr>
                <w:sz w:val="20"/>
                <w:szCs w:val="20"/>
                <w:color w:val="auto"/>
              </w:rPr>
            </w:pPr>
            <w:r>
              <w:rPr>
                <w:rFonts w:ascii="Arial" w:cs="Arial" w:eastAsia="Arial" w:hAnsi="Arial"/>
                <w:sz w:val="17"/>
                <w:szCs w:val="17"/>
                <w:color w:val="auto"/>
              </w:rPr>
              <w:t>Ann L. McDaniel</w:t>
            </w:r>
            <w:r>
              <w:rPr>
                <w:rFonts w:ascii="Arial" w:cs="Arial" w:eastAsia="Arial" w:hAnsi="Arial"/>
                <w:sz w:val="24"/>
                <w:szCs w:val="24"/>
                <w:color w:val="auto"/>
                <w:vertAlign w:val="superscript"/>
              </w:rPr>
              <w:t>+(g)</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2" w:lineRule="exact"/>
              <w:rPr>
                <w:sz w:val="20"/>
                <w:szCs w:val="20"/>
                <w:color w:val="auto"/>
              </w:rPr>
            </w:pPr>
            <w:r>
              <w:rPr>
                <w:rFonts w:ascii="Arial" w:cs="Arial" w:eastAsia="Arial" w:hAnsi="Arial"/>
                <w:sz w:val="17"/>
                <w:szCs w:val="17"/>
                <w:color w:val="auto"/>
                <w:w w:val="83"/>
              </w:rPr>
              <w:t xml:space="preserve">5,100 </w:t>
            </w:r>
            <w:r>
              <w:rPr>
                <w:rFonts w:ascii="Arial" w:cs="Arial" w:eastAsia="Arial" w:hAnsi="Arial"/>
                <w:sz w:val="24"/>
                <w:szCs w:val="24"/>
                <w:color w:val="auto"/>
                <w:w w:val="83"/>
                <w:vertAlign w:val="superscript"/>
              </w:rPr>
              <w:t>(b)</w:t>
            </w:r>
          </w:p>
        </w:tc>
      </w:tr>
      <w:tr>
        <w:trPr>
          <w:trHeight w:val="199"/>
        </w:trPr>
        <w:tc>
          <w:tcPr>
            <w:tcW w:w="3860" w:type="dxa"/>
            <w:vAlign w:val="bottom"/>
          </w:tcPr>
          <w:p>
            <w:pPr>
              <w:spacing w:after="0"/>
              <w:rPr>
                <w:sz w:val="20"/>
                <w:szCs w:val="20"/>
                <w:color w:val="auto"/>
              </w:rPr>
            </w:pPr>
            <w:r>
              <w:rPr>
                <w:rFonts w:ascii="Arial" w:cs="Arial" w:eastAsia="Arial" w:hAnsi="Arial"/>
                <w:sz w:val="17"/>
                <w:szCs w:val="17"/>
                <w:color w:val="auto"/>
              </w:rPr>
              <w:t>Anne M. Mulcahy^</w:t>
            </w:r>
          </w:p>
        </w:tc>
        <w:tc>
          <w:tcPr>
            <w:tcW w:w="1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84"/>
              </w:rPr>
              <w:t>–</w:t>
            </w:r>
          </w:p>
        </w:tc>
      </w:tr>
      <w:tr>
        <w:trPr>
          <w:trHeight w:val="202"/>
        </w:trPr>
        <w:tc>
          <w:tcPr>
            <w:tcW w:w="3860" w:type="dxa"/>
            <w:vAlign w:val="bottom"/>
          </w:tcPr>
          <w:p>
            <w:pPr>
              <w:spacing w:after="0"/>
              <w:rPr>
                <w:sz w:val="20"/>
                <w:szCs w:val="20"/>
                <w:color w:val="auto"/>
              </w:rPr>
            </w:pPr>
            <w:r>
              <w:rPr>
                <w:rFonts w:ascii="Arial" w:cs="Arial" w:eastAsia="Arial" w:hAnsi="Arial"/>
                <w:sz w:val="17"/>
                <w:szCs w:val="17"/>
                <w:color w:val="auto"/>
              </w:rPr>
              <w:t>Ronald L. Olson^</w:t>
            </w:r>
          </w:p>
        </w:tc>
        <w:tc>
          <w:tcPr>
            <w:tcW w:w="1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84"/>
              </w:rPr>
              <w:t>–</w:t>
            </w:r>
          </w:p>
        </w:tc>
      </w:tr>
      <w:tr>
        <w:trPr>
          <w:trHeight w:val="236"/>
        </w:trPr>
        <w:tc>
          <w:tcPr>
            <w:tcW w:w="3860" w:type="dxa"/>
            <w:vAlign w:val="bottom"/>
          </w:tcPr>
          <w:p>
            <w:pPr>
              <w:spacing w:after="0" w:line="236" w:lineRule="exact"/>
              <w:rPr>
                <w:sz w:val="20"/>
                <w:szCs w:val="20"/>
                <w:color w:val="auto"/>
              </w:rPr>
            </w:pPr>
            <w:r>
              <w:rPr>
                <w:rFonts w:ascii="Arial" w:cs="Arial" w:eastAsia="Arial" w:hAnsi="Arial"/>
                <w:sz w:val="17"/>
                <w:szCs w:val="17"/>
                <w:color w:val="auto"/>
              </w:rPr>
              <w:t>Gerald M. Rosberg</w:t>
            </w:r>
            <w:r>
              <w:rPr>
                <w:rFonts w:ascii="Arial" w:cs="Arial" w:eastAsia="Arial" w:hAnsi="Arial"/>
                <w:sz w:val="24"/>
                <w:szCs w:val="24"/>
                <w:color w:val="auto"/>
                <w:vertAlign w:val="superscript"/>
              </w:rPr>
              <w:t>+(h)</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5,825 </w:t>
            </w:r>
            <w:r>
              <w:rPr>
                <w:rFonts w:ascii="Arial" w:cs="Arial" w:eastAsia="Arial" w:hAnsi="Arial"/>
                <w:sz w:val="24"/>
                <w:szCs w:val="24"/>
                <w:color w:val="auto"/>
                <w:w w:val="83"/>
                <w:vertAlign w:val="superscript"/>
              </w:rPr>
              <w:t>(b)</w:t>
            </w:r>
          </w:p>
        </w:tc>
      </w:tr>
      <w:tr>
        <w:trPr>
          <w:trHeight w:val="236"/>
        </w:trPr>
        <w:tc>
          <w:tcPr>
            <w:tcW w:w="3860" w:type="dxa"/>
            <w:vAlign w:val="bottom"/>
          </w:tcPr>
          <w:p>
            <w:pPr>
              <w:spacing w:after="0"/>
              <w:rPr>
                <w:sz w:val="20"/>
                <w:szCs w:val="20"/>
                <w:color w:val="auto"/>
              </w:rPr>
            </w:pPr>
            <w:r>
              <w:rPr>
                <w:rFonts w:ascii="Arial" w:cs="Arial" w:eastAsia="Arial" w:hAnsi="Arial"/>
                <w:sz w:val="17"/>
                <w:szCs w:val="17"/>
                <w:color w:val="auto"/>
              </w:rPr>
              <w:t>Larry D. Thompson^</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27"/>
                <w:szCs w:val="27"/>
                <w:color w:val="auto"/>
                <w:w w:val="98"/>
                <w:vertAlign w:val="subscript"/>
              </w:rPr>
              <w:t>76</w:t>
            </w:r>
            <w:r>
              <w:rPr>
                <w:rFonts w:ascii="Arial" w:cs="Arial" w:eastAsia="Arial" w:hAnsi="Arial"/>
                <w:sz w:val="11"/>
                <w:szCs w:val="11"/>
                <w:color w:val="auto"/>
                <w:w w:val="98"/>
              </w:rPr>
              <w:t xml:space="preserve"> (b)</w:t>
            </w:r>
          </w:p>
        </w:tc>
      </w:tr>
      <w:tr>
        <w:trPr>
          <w:trHeight w:val="236"/>
        </w:trPr>
        <w:tc>
          <w:tcPr>
            <w:tcW w:w="3860" w:type="dxa"/>
            <w:vAlign w:val="bottom"/>
          </w:tcPr>
          <w:p>
            <w:pPr>
              <w:spacing w:after="0" w:line="236" w:lineRule="exact"/>
              <w:rPr>
                <w:sz w:val="20"/>
                <w:szCs w:val="20"/>
                <w:color w:val="auto"/>
              </w:rPr>
            </w:pPr>
            <w:r>
              <w:rPr>
                <w:rFonts w:ascii="Arial" w:cs="Arial" w:eastAsia="Arial" w:hAnsi="Arial"/>
                <w:sz w:val="17"/>
                <w:szCs w:val="17"/>
                <w:color w:val="auto"/>
              </w:rPr>
              <w:t>G. Richard Wagoner, Jr.^</w:t>
            </w:r>
            <w:r>
              <w:rPr>
                <w:rFonts w:ascii="Arial" w:cs="Arial" w:eastAsia="Arial" w:hAnsi="Arial"/>
                <w:sz w:val="24"/>
                <w:szCs w:val="24"/>
                <w:color w:val="auto"/>
                <w:vertAlign w:val="superscript"/>
              </w:rPr>
              <w:t>(i)</w:t>
            </w:r>
          </w:p>
        </w:tc>
        <w:tc>
          <w:tcPr>
            <w:tcW w:w="1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jc w:val="center"/>
              <w:spacing w:after="0" w:line="236" w:lineRule="exact"/>
              <w:rPr>
                <w:sz w:val="20"/>
                <w:szCs w:val="20"/>
                <w:color w:val="auto"/>
              </w:rPr>
            </w:pPr>
            <w:r>
              <w:rPr>
                <w:rFonts w:ascii="Arial" w:cs="Arial" w:eastAsia="Arial" w:hAnsi="Arial"/>
                <w:sz w:val="17"/>
                <w:szCs w:val="17"/>
                <w:color w:val="auto"/>
                <w:w w:val="83"/>
              </w:rPr>
              <w:t xml:space="preserve">1,000 </w:t>
            </w:r>
            <w:r>
              <w:rPr>
                <w:rFonts w:ascii="Arial" w:cs="Arial" w:eastAsia="Arial" w:hAnsi="Arial"/>
                <w:sz w:val="24"/>
                <w:szCs w:val="24"/>
                <w:color w:val="auto"/>
                <w:w w:val="83"/>
                <w:vertAlign w:val="superscript"/>
              </w:rPr>
              <w:t>(b)</w:t>
            </w:r>
          </w:p>
        </w:tc>
      </w:tr>
      <w:tr>
        <w:trPr>
          <w:trHeight w:val="257"/>
        </w:trPr>
        <w:tc>
          <w:tcPr>
            <w:tcW w:w="3860" w:type="dxa"/>
            <w:vAlign w:val="bottom"/>
          </w:tcPr>
          <w:p>
            <w:pPr>
              <w:spacing w:after="0" w:line="257" w:lineRule="exact"/>
              <w:rPr>
                <w:sz w:val="20"/>
                <w:szCs w:val="20"/>
                <w:color w:val="auto"/>
              </w:rPr>
            </w:pPr>
            <w:r>
              <w:rPr>
                <w:rFonts w:ascii="Arial" w:cs="Arial" w:eastAsia="Arial" w:hAnsi="Arial"/>
                <w:sz w:val="17"/>
                <w:szCs w:val="17"/>
                <w:color w:val="auto"/>
              </w:rPr>
              <w:t>Katharine Weymouth^</w:t>
            </w:r>
            <w:r>
              <w:rPr>
                <w:rFonts w:ascii="Arial" w:cs="Arial" w:eastAsia="Arial" w:hAnsi="Arial"/>
                <w:sz w:val="24"/>
                <w:szCs w:val="24"/>
                <w:color w:val="auto"/>
                <w:vertAlign w:val="superscript"/>
              </w:rPr>
              <w:t>(j)</w:t>
            </w:r>
          </w:p>
        </w:tc>
        <w:tc>
          <w:tcPr>
            <w:tcW w:w="1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00" w:type="dxa"/>
            <w:vAlign w:val="bottom"/>
          </w:tcPr>
          <w:p>
            <w:pPr>
              <w:jc w:val="center"/>
              <w:spacing w:after="0" w:line="257" w:lineRule="exact"/>
              <w:rPr>
                <w:sz w:val="20"/>
                <w:szCs w:val="20"/>
                <w:color w:val="auto"/>
              </w:rPr>
            </w:pPr>
            <w:r>
              <w:rPr>
                <w:rFonts w:ascii="Arial" w:cs="Arial" w:eastAsia="Arial" w:hAnsi="Arial"/>
                <w:sz w:val="17"/>
                <w:szCs w:val="17"/>
                <w:color w:val="auto"/>
                <w:w w:val="83"/>
              </w:rPr>
              <w:t xml:space="preserve">58,296 </w:t>
            </w:r>
            <w:r>
              <w:rPr>
                <w:rFonts w:ascii="Arial" w:cs="Arial" w:eastAsia="Arial" w:hAnsi="Arial"/>
                <w:sz w:val="24"/>
                <w:szCs w:val="24"/>
                <w:color w:val="auto"/>
                <w:w w:val="83"/>
                <w:vertAlign w:val="superscript"/>
              </w:rPr>
              <w:t>(b)</w:t>
            </w:r>
          </w:p>
        </w:tc>
      </w:tr>
      <w:tr>
        <w:trPr>
          <w:trHeight w:val="202"/>
        </w:trPr>
        <w:tc>
          <w:tcPr>
            <w:tcW w:w="3860" w:type="dxa"/>
            <w:vAlign w:val="bottom"/>
          </w:tcPr>
          <w:p>
            <w:pPr>
              <w:spacing w:after="0"/>
              <w:rPr>
                <w:sz w:val="20"/>
                <w:szCs w:val="20"/>
                <w:color w:val="auto"/>
              </w:rPr>
            </w:pPr>
            <w:r>
              <w:rPr>
                <w:rFonts w:ascii="Arial" w:cs="Arial" w:eastAsia="Arial" w:hAnsi="Arial"/>
                <w:sz w:val="17"/>
                <w:szCs w:val="17"/>
                <w:color w:val="auto"/>
              </w:rPr>
              <w:t>All Directors and executive officers as a group,</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322"/>
        </w:trPr>
        <w:tc>
          <w:tcPr>
            <w:tcW w:w="3860" w:type="dxa"/>
            <w:vAlign w:val="bottom"/>
          </w:tcPr>
          <w:p>
            <w:pPr>
              <w:ind w:left="440"/>
              <w:spacing w:after="0"/>
              <w:rPr>
                <w:sz w:val="20"/>
                <w:szCs w:val="20"/>
                <w:color w:val="auto"/>
              </w:rPr>
            </w:pPr>
            <w:r>
              <w:rPr>
                <w:rFonts w:ascii="Arial" w:cs="Arial" w:eastAsia="Arial" w:hAnsi="Arial"/>
                <w:sz w:val="17"/>
                <w:szCs w:val="17"/>
                <w:color w:val="auto"/>
              </w:rPr>
              <w:t>eliminating duplications (16 individuals)</w:t>
            </w:r>
            <w:r>
              <w:rPr>
                <w:rFonts w:ascii="Arial" w:cs="Arial" w:eastAsia="Arial" w:hAnsi="Arial"/>
                <w:sz w:val="24"/>
                <w:szCs w:val="24"/>
                <w:color w:val="auto"/>
                <w:vertAlign w:val="superscript"/>
              </w:rPr>
              <w:t>(k)</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1,179,637</w:t>
            </w:r>
          </w:p>
        </w:tc>
        <w:tc>
          <w:tcPr>
            <w:tcW w:w="800" w:type="dxa"/>
            <w:vAlign w:val="bottom"/>
          </w:tcPr>
          <w:p>
            <w:pPr>
              <w:jc w:val="right"/>
              <w:ind w:right="177"/>
              <w:spacing w:after="0"/>
              <w:rPr>
                <w:sz w:val="20"/>
                <w:szCs w:val="20"/>
                <w:color w:val="auto"/>
              </w:rPr>
            </w:pPr>
            <w:r>
              <w:rPr>
                <w:rFonts w:ascii="Arial" w:cs="Arial" w:eastAsia="Arial" w:hAnsi="Arial"/>
                <w:sz w:val="17"/>
                <w:szCs w:val="17"/>
                <w:color w:val="auto"/>
                <w:w w:val="87"/>
              </w:rPr>
              <w:t>(96.7%)</w:t>
            </w:r>
          </w:p>
        </w:tc>
        <w:tc>
          <w:tcPr>
            <w:tcW w:w="3500" w:type="dxa"/>
            <w:vAlign w:val="bottom"/>
            <w:gridSpan w:val="3"/>
          </w:tcPr>
          <w:p>
            <w:pPr>
              <w:jc w:val="center"/>
              <w:ind w:left="737"/>
              <w:spacing w:after="0"/>
              <w:rPr>
                <w:sz w:val="20"/>
                <w:szCs w:val="20"/>
                <w:color w:val="auto"/>
              </w:rPr>
            </w:pPr>
            <w:r>
              <w:rPr>
                <w:rFonts w:ascii="Arial" w:cs="Arial" w:eastAsia="Arial" w:hAnsi="Arial"/>
                <w:sz w:val="17"/>
                <w:szCs w:val="17"/>
                <w:color w:val="auto"/>
                <w:w w:val="88"/>
              </w:rPr>
              <w:t>3,038,274 (40.9%)</w:t>
            </w:r>
          </w:p>
        </w:tc>
      </w:tr>
    </w:tbl>
    <w:p>
      <w:pPr>
        <w:spacing w:after="0" w:line="335" w:lineRule="exact"/>
        <w:rPr>
          <w:sz w:val="20"/>
          <w:szCs w:val="20"/>
          <w:color w:val="auto"/>
        </w:rPr>
      </w:pPr>
    </w:p>
    <w:p>
      <w:pPr>
        <w:ind w:left="9"/>
        <w:spacing w:after="0"/>
        <w:rPr>
          <w:sz w:val="20"/>
          <w:szCs w:val="20"/>
          <w:color w:val="auto"/>
        </w:rPr>
      </w:pPr>
      <w:r>
        <w:rPr>
          <w:rFonts w:ascii="Arial" w:cs="Arial" w:eastAsia="Arial" w:hAnsi="Arial"/>
          <w:sz w:val="12"/>
          <w:szCs w:val="12"/>
          <w:color w:val="auto"/>
        </w:rPr>
        <w:t>__________________</w:t>
      </w:r>
    </w:p>
    <w:p>
      <w:pPr>
        <w:spacing w:after="0" w:line="9" w:lineRule="exact"/>
        <w:rPr>
          <w:sz w:val="20"/>
          <w:szCs w:val="20"/>
          <w:color w:val="auto"/>
        </w:rPr>
      </w:pPr>
    </w:p>
    <w:p>
      <w:pPr>
        <w:ind w:left="129" w:hanging="129"/>
        <w:spacing w:after="0"/>
        <w:tabs>
          <w:tab w:leader="none" w:pos="129" w:val="left"/>
        </w:tabs>
        <w:numPr>
          <w:ilvl w:val="0"/>
          <w:numId w:val="24"/>
        </w:numPr>
        <w:rPr>
          <w:rFonts w:ascii="Arial" w:cs="Arial" w:eastAsia="Arial" w:hAnsi="Arial"/>
          <w:sz w:val="12"/>
          <w:szCs w:val="12"/>
          <w:color w:val="auto"/>
        </w:rPr>
      </w:pPr>
      <w:r>
        <w:rPr>
          <w:rFonts w:ascii="Arial" w:cs="Arial" w:eastAsia="Arial" w:hAnsi="Arial"/>
          <w:sz w:val="12"/>
          <w:szCs w:val="12"/>
          <w:color w:val="auto"/>
        </w:rPr>
        <w:t>Unless otherwise indicated, the Directors and officers listed have sole voting and investment power with respect to such securities. None of the securities has been pledged as security.</w:t>
      </w:r>
    </w:p>
    <w:p>
      <w:pPr>
        <w:spacing w:after="0" w:line="12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(a) Includes 1,219,383 shares of Class B Stock issuable upon conversion of shares of Class A Stock beneficially owned.</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(b) Less than 1%.</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(c) Includes 1,000 shares Ms. Dillon has the right to purchase, pursuant to stock options.</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(d) Includes 5,200 shares of Class B Stock held for the account of a number of beneficial owners in which Mr. Gayner disclaims beneficial ownership.</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(e) See Table of “Principal Holders of Stock” on page 14.</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(f) Includes 3,500 shares Mr. Jones has the right to purchase, pursuant to stock options.</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(g) Includes 3,000 shares Ms. McDaniel has the right to purchase, pursuant to stock option.</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(h) Includes 1,000 shares Mr. Rosberg has the right to purchase, pursuant to stock options.</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(i) Shares are held in a revocable trust.</w:t>
      </w:r>
    </w:p>
    <w:p>
      <w:pPr>
        <w:spacing w:after="0" w:line="135" w:lineRule="exact"/>
        <w:rPr>
          <w:rFonts w:ascii="Arial" w:cs="Arial" w:eastAsia="Arial" w:hAnsi="Arial"/>
          <w:sz w:val="12"/>
          <w:szCs w:val="12"/>
          <w:color w:val="auto"/>
        </w:rPr>
      </w:pPr>
    </w:p>
    <w:p>
      <w:pPr>
        <w:ind w:left="9"/>
        <w:spacing w:after="0"/>
        <w:rPr>
          <w:rFonts w:ascii="Arial" w:cs="Arial" w:eastAsia="Arial" w:hAnsi="Arial"/>
          <w:sz w:val="12"/>
          <w:szCs w:val="12"/>
          <w:color w:val="auto"/>
        </w:rPr>
      </w:pPr>
      <w:r>
        <w:rPr>
          <w:rFonts w:ascii="Arial" w:cs="Arial" w:eastAsia="Arial" w:hAnsi="Arial"/>
          <w:sz w:val="12"/>
          <w:szCs w:val="12"/>
          <w:color w:val="auto"/>
        </w:rPr>
        <w:t>(j) Includes 6,000 shares Ms. Weymouth has the right to purchase, pursuant to stock options.</w:t>
      </w:r>
    </w:p>
    <w:p>
      <w:pPr>
        <w:spacing w:after="0" w:line="135" w:lineRule="exact"/>
        <w:rPr>
          <w:sz w:val="20"/>
          <w:szCs w:val="20"/>
          <w:color w:val="auto"/>
        </w:rPr>
      </w:pPr>
    </w:p>
    <w:p>
      <w:pPr>
        <w:jc w:val="both"/>
        <w:ind w:left="149" w:right="20" w:hanging="149"/>
        <w:spacing w:after="0" w:line="253" w:lineRule="auto"/>
        <w:tabs>
          <w:tab w:leader="none" w:pos="207"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16,500 shares of Class B Stock, which Directors and executive officers have the right to purchase, pursuant to stock options, and shares of restricted stock awarded to executive officers in accordance with Th Washington Post Company Incentive Compensation Plan. It does not include 36,970 shares of Class B Stock held as of February 1, 2013, by the trustee of various savings plans maintained by the Company and its busi over which the trustee has voting and investment powers.</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2"/>
          <w:szCs w:val="12"/>
          <w:color w:val="auto"/>
        </w:rPr>
        <w:t>^  Director.</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color w:val="auto"/>
        </w:rPr>
        <w:t>+  Executive Officer.</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06" w:lineRule="exact"/>
        <w:rPr>
          <w:sz w:val="20"/>
          <w:szCs w:val="20"/>
          <w:color w:val="auto"/>
        </w:rPr>
      </w:pPr>
    </w:p>
    <w:p>
      <w:pPr>
        <w:ind w:left="9" w:firstLine="709"/>
        <w:spacing w:after="0" w:line="259" w:lineRule="auto"/>
        <w:rPr>
          <w:sz w:val="20"/>
          <w:szCs w:val="20"/>
          <w:color w:val="auto"/>
        </w:rPr>
      </w:pPr>
      <w:r>
        <w:rPr>
          <w:rFonts w:ascii="Arial" w:cs="Arial" w:eastAsia="Arial" w:hAnsi="Arial"/>
          <w:sz w:val="17"/>
          <w:szCs w:val="17"/>
          <w:color w:val="auto"/>
        </w:rPr>
        <w:t>Section 16(a) of the Securities Exchange Act of 1934 requires the Company’s Directors, officers and persons who own more than 10% of a registered class Company’s equity securities to file with SEC initial reports of ownership and reports of changes in ownership</w:t>
      </w:r>
    </w:p>
    <w:p>
      <w:pPr>
        <w:jc w:val="center"/>
        <w:ind w:left="1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5" w:right="139" w:bottom="1440" w:gutter="0" w:footer="0" w:header="0"/>
        </w:sectPr>
      </w:pPr>
    </w:p>
    <w:bookmarkStart w:id="17" w:name="page18"/>
    <w:bookmarkEnd w:id="17"/>
    <w:p>
      <w:pPr>
        <w:spacing w:after="0" w:line="260" w:lineRule="auto"/>
        <w:rPr>
          <w:sz w:val="20"/>
          <w:szCs w:val="20"/>
          <w:color w:val="auto"/>
        </w:rPr>
      </w:pPr>
      <w:r>
        <w:rPr>
          <w:rFonts w:ascii="Arial" w:cs="Arial" w:eastAsia="Arial" w:hAnsi="Arial"/>
          <w:sz w:val="17"/>
          <w:szCs w:val="17"/>
          <w:color w:val="auto"/>
        </w:rPr>
        <w:t>of Class B Stock. During the fiscal year ended December 31, 2012, the Company had one deficiency in reporting. A Form 4 on behalf of Ann McDaniel, acting as tru a family trust, was filed three days after the deadline for shares sold.</w:t>
      </w:r>
    </w:p>
    <w:p>
      <w:pPr>
        <w:spacing w:after="0" w:line="168"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PROPOSAL 2: APPROVAL OF 2012 COMPENSATION AWARDED TO NAMED EXECUTIVE OFFICERS</w:t>
      </w:r>
    </w:p>
    <w:p>
      <w:pPr>
        <w:spacing w:after="0" w:line="206" w:lineRule="exact"/>
        <w:rPr>
          <w:sz w:val="20"/>
          <w:szCs w:val="20"/>
          <w:color w:val="auto"/>
        </w:rPr>
      </w:pPr>
    </w:p>
    <w:p>
      <w:pPr>
        <w:ind w:firstLine="709"/>
        <w:spacing w:after="0" w:line="304" w:lineRule="auto"/>
        <w:rPr>
          <w:sz w:val="20"/>
          <w:szCs w:val="20"/>
          <w:color w:val="auto"/>
        </w:rPr>
      </w:pPr>
      <w:r>
        <w:rPr>
          <w:rFonts w:ascii="Arial" w:cs="Arial" w:eastAsia="Arial" w:hAnsi="Arial"/>
          <w:sz w:val="14"/>
          <w:szCs w:val="14"/>
          <w:color w:val="auto"/>
        </w:rPr>
        <w:t>As required by Schedule 14A of the Securities Exchange Act of 1934 and the corresponding SEC rules, the Company is seeking an advisory, non-binding shareholder vote with respect to compensation awarded to its named executive officers for 2012 from its Class A Shareholders. On May 12, 2011, the majority of the Company’s Class A Shareholders voted in favor of an annual, non-binding shareholder advisory vote on executive compensation and, in consideration of the outcom frequency vote, the Board determined to hold such advisory vote each year. The Company’s executive compensation program and compensation paid to its named ex officers are described on pages 18–24 of this Proxy Statement. The Compensation Committee oversees the program and compensation awarded, adopting changes to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following resolution, or you may abstain. The Compensation Committee will consider the outcome of the vote, along with other relevant factors, in evaluating its exe compensation program. Following the Meeting, the next such non-binding advisory vote to approve the Company’s executive compensation is scheduled to occur at t 2014 Annual Meeting of Shareholders.</w:t>
      </w:r>
    </w:p>
    <w:p>
      <w:pPr>
        <w:spacing w:after="0" w:line="345" w:lineRule="exact"/>
        <w:rPr>
          <w:sz w:val="20"/>
          <w:szCs w:val="20"/>
          <w:color w:val="auto"/>
        </w:rPr>
      </w:pPr>
    </w:p>
    <w:p>
      <w:pPr>
        <w:jc w:val="both"/>
        <w:ind w:left="700" w:right="20"/>
        <w:spacing w:after="0" w:line="254" w:lineRule="auto"/>
        <w:rPr>
          <w:sz w:val="20"/>
          <w:szCs w:val="20"/>
          <w:color w:val="auto"/>
        </w:rPr>
      </w:pPr>
      <w:r>
        <w:rPr>
          <w:rFonts w:ascii="Arial" w:cs="Arial" w:eastAsia="Arial" w:hAnsi="Arial"/>
          <w:sz w:val="17"/>
          <w:szCs w:val="17"/>
          <w:b w:val="1"/>
          <w:bCs w:val="1"/>
          <w:color w:val="auto"/>
        </w:rPr>
        <w:t>Resolved, that the compensation paid to the Company’s named executive officers for 2012, as disclosed pursuant to the compensation disclosure r the Securities and Exchange Commission, including the Compensation Discussion and Analysis, the compensation tables, narrative discussion an related material included in this Proxy Statement, is hereby APPROVED.</w:t>
      </w:r>
    </w:p>
    <w:p>
      <w:pPr>
        <w:spacing w:after="0" w:line="174"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color w:val="auto"/>
        </w:rPr>
        <w:t>THE BOARD OF DIRECTORS RECOMMENDS THAT CLASS A SHAREHOLDERS VOTE “FOR” THE APPROVAL OF THE FOREGOING RESOLUTION.</w:t>
      </w:r>
    </w:p>
    <w:p>
      <w:pPr>
        <w:spacing w:after="0" w:line="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8" w:right="139" w:bottom="1440" w:gutter="0" w:footer="0" w:header="0"/>
        </w:sectPr>
      </w:pPr>
    </w:p>
    <w:bookmarkStart w:id="18" w:name="page19"/>
    <w:bookmarkEnd w:id="18"/>
    <w:p>
      <w:pPr>
        <w:jc w:val="center"/>
        <w:ind w:left="1160"/>
        <w:spacing w:after="0"/>
        <w:rPr>
          <w:sz w:val="20"/>
          <w:szCs w:val="20"/>
          <w:color w:val="auto"/>
        </w:rPr>
      </w:pPr>
      <w:r>
        <w:rPr>
          <w:rFonts w:ascii="Arial" w:cs="Arial" w:eastAsia="Arial" w:hAnsi="Arial"/>
          <w:sz w:val="17"/>
          <w:szCs w:val="17"/>
          <w:b w:val="1"/>
          <w:bCs w:val="1"/>
          <w:color w:val="auto"/>
        </w:rPr>
        <w:t>EXECUTIVE COMPENSATION</w:t>
      </w:r>
    </w:p>
    <w:p>
      <w:pPr>
        <w:spacing w:after="0" w:line="18"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Compensation Program</w:t>
      </w:r>
    </w:p>
    <w:p>
      <w:pPr>
        <w:spacing w:after="0" w:line="206" w:lineRule="exact"/>
        <w:rPr>
          <w:sz w:val="20"/>
          <w:szCs w:val="20"/>
          <w:color w:val="auto"/>
        </w:rPr>
      </w:pPr>
    </w:p>
    <w:p>
      <w:pPr>
        <w:ind w:firstLine="709"/>
        <w:spacing w:after="0" w:line="301" w:lineRule="auto"/>
        <w:rPr>
          <w:sz w:val="20"/>
          <w:szCs w:val="20"/>
          <w:color w:val="auto"/>
        </w:rPr>
      </w:pPr>
      <w:r>
        <w:rPr>
          <w:rFonts w:ascii="Arial" w:cs="Arial" w:eastAsia="Arial" w:hAnsi="Arial"/>
          <w:sz w:val="14"/>
          <w:szCs w:val="14"/>
          <w:color w:val="auto"/>
        </w:rPr>
        <w:t>The Compensation Committee (the “Committee”) of the Board of Directors has responsibility for establishing and continually monitoring adherence to the Company’s compensation philosophy — a philosophy designed to attract, retain and motivate qualified and talented employees who are enthusiastic about the Comp mission and culture. The Committee, which is chaired by Anne M. Mulcahy and includes Lee C. Bollinger, Barry Diller and Larry D. Thompson, seeks to establish to compensation packages that are attractive to employees and comparable to, but not dramatically different from, those offered by peer companies with comparable rev in the education and media industries. Through regular meetings and discussions with management, the Committee ensures that the total compensation paid to all executives, including named executive officers of the Company, and all employees earning more than $300,000 in salary, is fair, reasonable and based on performanc established to increase value for Shareholders by facilitating the long-term growth of the Company. The Committee considers both short-term and long-term plans in determining compensation. Annual plans are used to motivate and reward management for achieving specific yearly goals. Long-term plans, typically three or four y duration, are designed to reward cumulative long-term goals. All performance criteria, however, including those in annual or relatively short-term plans, are designed reward executives for making decisions that will enhance the long-term value of the Company. No targets are based on quarterly or partial-year results. Some of these reward with cash, and others reward with stock-based compensation. The Company has no specific formula for allocating between cash and non-cash compensation o between long-term and current compensation. Management and the Committee select the method of compensation thought most likely to lead to achievement of the particular goal; however, the Company has historically favored cash compensation over non-cash compensation. Management and the Committee believe that cash incentives provide more targeted rewards for specific performance.</w:t>
      </w:r>
    </w:p>
    <w:p>
      <w:pPr>
        <w:spacing w:after="0" w:line="353" w:lineRule="exact"/>
        <w:rPr>
          <w:sz w:val="20"/>
          <w:szCs w:val="20"/>
          <w:color w:val="auto"/>
        </w:rPr>
      </w:pPr>
    </w:p>
    <w:p>
      <w:pPr>
        <w:jc w:val="both"/>
        <w:ind w:firstLine="709"/>
        <w:spacing w:after="0" w:line="248" w:lineRule="auto"/>
        <w:rPr>
          <w:sz w:val="20"/>
          <w:szCs w:val="20"/>
          <w:color w:val="auto"/>
        </w:rPr>
      </w:pPr>
      <w:r>
        <w:rPr>
          <w:rFonts w:ascii="Arial" w:cs="Arial" w:eastAsia="Arial" w:hAnsi="Arial"/>
          <w:sz w:val="17"/>
          <w:szCs w:val="17"/>
          <w:color w:val="auto"/>
        </w:rPr>
        <w:t>All named executive officers, except Donald E. Graham, Chairman of the Board and Chief Executive Officer, receive an annual salary and restricted stock awards every other year and participate in performance-based annual bonus plans and four-year cash-based Performance Unit Plans. Named executive officers and ot occasionally receive restricted stock or stock option grants in off-cycle years as a reward for past performance and incentive for future performance. They also receiv benefits of the Supplemental Executive Retirement Plan (the “SERP”). Mr. Graham receives an annual salary and participates in the Performance Unit Plans and the benefit portion of the SERP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Charter</w:t>
      </w:r>
    </w:p>
    <w:p>
      <w:pPr>
        <w:spacing w:after="0" w:line="206" w:lineRule="exact"/>
        <w:rPr>
          <w:sz w:val="20"/>
          <w:szCs w:val="20"/>
          <w:color w:val="auto"/>
        </w:rPr>
      </w:pPr>
    </w:p>
    <w:p>
      <w:pPr>
        <w:ind w:firstLine="709"/>
        <w:spacing w:after="0" w:line="308" w:lineRule="auto"/>
        <w:rPr>
          <w:sz w:val="20"/>
          <w:szCs w:val="20"/>
          <w:color w:val="auto"/>
        </w:rPr>
      </w:pPr>
      <w:r>
        <w:rPr>
          <w:rFonts w:ascii="Arial" w:cs="Arial" w:eastAsia="Arial" w:hAnsi="Arial"/>
          <w:sz w:val="14"/>
          <w:szCs w:val="14"/>
          <w:color w:val="auto"/>
        </w:rPr>
        <w:t>The Board has delegated to the Committee the responsibility of overseeing the administration of the Company’s compensation plans and the preparation of reports and documents required by the rules and regulations of the SEC. To meet this responsibility, the Committee is required to meet at least once a year. The Com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 reviews and makes recommendations to the Board with respect to any incentive compensation plans, including equity-based plans, to be adopted or submitted to shareholders for approval. The Committee reviews the Company’s succession plans, including (i) the Chairman and Chief Executive Officer’s recommendations as to successor, should he be disabled or unable to perform his duties for an extended period of time, and (ii) annually, the Company’s efforts at management development.</w:t>
      </w:r>
    </w:p>
    <w:p>
      <w:pPr>
        <w:spacing w:after="0" w:line="142" w:lineRule="exact"/>
        <w:rPr>
          <w:sz w:val="20"/>
          <w:szCs w:val="20"/>
          <w:color w:val="auto"/>
        </w:rPr>
      </w:pPr>
    </w:p>
    <w:p>
      <w:pPr>
        <w:jc w:val="both"/>
        <w:ind w:firstLine="709"/>
        <w:spacing w:after="0" w:line="267" w:lineRule="auto"/>
        <w:rPr>
          <w:sz w:val="20"/>
          <w:szCs w:val="20"/>
          <w:color w:val="auto"/>
        </w:rPr>
      </w:pPr>
      <w:r>
        <w:rPr>
          <w:rFonts w:ascii="Arial" w:cs="Arial" w:eastAsia="Arial" w:hAnsi="Arial"/>
          <w:sz w:val="16"/>
          <w:szCs w:val="16"/>
          <w:color w:val="auto"/>
        </w:rPr>
        <w:t>The Committee may request that any officer or employee of the Company, including its affiliates, or the Company’s outside counsel or an independent aud attend meetings of the Committee or meet with any members of, or consultants to, the Committee. The Committee has authority to retain or terminate any compensat consultant used to assist in the evaluation of Director, Chief Executive Officer or senior management compensation and has sole authority to approve the consultant’s and other retention terms. The Committee did not retain any consultant for such purpose in 2012. The Committee also has authority to obtain advice and assistance fr internal or external legal, accounting or other advisors.</w:t>
      </w:r>
    </w:p>
    <w:p>
      <w:pPr>
        <w:spacing w:after="0" w:line="168" w:lineRule="exact"/>
        <w:rPr>
          <w:sz w:val="20"/>
          <w:szCs w:val="20"/>
          <w:color w:val="auto"/>
        </w:rPr>
      </w:pPr>
    </w:p>
    <w:p>
      <w:pPr>
        <w:jc w:val="both"/>
        <w:ind w:firstLine="709"/>
        <w:spacing w:after="0" w:line="314" w:lineRule="auto"/>
        <w:rPr>
          <w:sz w:val="20"/>
          <w:szCs w:val="20"/>
          <w:color w:val="auto"/>
        </w:rPr>
      </w:pPr>
      <w:r>
        <w:rPr>
          <w:rFonts w:ascii="Arial" w:cs="Arial" w:eastAsia="Arial" w:hAnsi="Arial"/>
          <w:sz w:val="14"/>
          <w:szCs w:val="14"/>
          <w:color w:val="auto"/>
        </w:rPr>
        <w:t>During 2012, the Committee met six times. Mr. Graham, the Chief Executive Officer, and Ms. McDaniel, Senior Vice President and secretary of the Comm (also a named executive officer), attended all Committee meetings. Hal Jones, Senior Vice President–Finance and Chief Financial Officer (also a named executive off and Andrew Rosen, Chairman and Chief Executive Officer of Kaplan, Inc., attended one meeting to assist the Committee in estimating the fair value of Kaplan. Kath Weymouth, Chief Executive Officer of Washington Post Media, attended one meeting to answer detailed questions from the Compensation Committee regarding WP compensation plans. A copy of the Company’s Compensation Committee Charter is available under the “Investor Relations” tab at www.washpostco.com.</w:t>
      </w:r>
    </w:p>
    <w:p>
      <w:pPr>
        <w:spacing w:after="0" w:line="16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4" w:right="1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06" w:lineRule="exact"/>
        <w:rPr>
          <w:sz w:val="20"/>
          <w:szCs w:val="20"/>
          <w:color w:val="auto"/>
        </w:rPr>
      </w:pPr>
    </w:p>
    <w:p>
      <w:pPr>
        <w:jc w:val="both"/>
        <w:ind w:right="160" w:firstLine="709"/>
        <w:spacing w:after="0" w:line="252" w:lineRule="auto"/>
        <w:rPr>
          <w:sz w:val="20"/>
          <w:szCs w:val="20"/>
          <w:color w:val="auto"/>
        </w:rPr>
      </w:pPr>
      <w:r>
        <w:rPr>
          <w:rFonts w:ascii="Arial" w:cs="Arial" w:eastAsia="Arial" w:hAnsi="Arial"/>
          <w:sz w:val="17"/>
          <w:szCs w:val="17"/>
          <w:color w:val="auto"/>
        </w:rPr>
        <w:t>The Committee makes all compensation decisions for the named executive officers of the Company, except those perquisites under $200,000 per named executive officer that may be approved by the Chief Executive Officer. The Committee also approves the compensation of all employees earning annual salaries of $300,000 or more and bonuses of $75,000 or more.</w:t>
      </w:r>
    </w:p>
    <w:p>
      <w:pPr>
        <w:spacing w:after="0" w:line="178" w:lineRule="exact"/>
        <w:rPr>
          <w:sz w:val="20"/>
          <w:szCs w:val="20"/>
          <w:color w:val="auto"/>
        </w:rPr>
      </w:pPr>
    </w:p>
    <w:p>
      <w:pPr>
        <w:jc w:val="both"/>
        <w:ind w:firstLine="709"/>
        <w:spacing w:after="0" w:line="249" w:lineRule="auto"/>
        <w:rPr>
          <w:sz w:val="20"/>
          <w:szCs w:val="20"/>
          <w:color w:val="auto"/>
        </w:rPr>
      </w:pPr>
      <w:r>
        <w:rPr>
          <w:rFonts w:ascii="Arial" w:cs="Arial" w:eastAsia="Arial" w:hAnsi="Arial"/>
          <w:sz w:val="17"/>
          <w:szCs w:val="17"/>
          <w:color w:val="auto"/>
        </w:rPr>
        <w:t>Except for awards involving themselves, Mr. Graham and Ms. McDaniel recommend to the Committee the size of each component of compensation, based discussion with the head of the division where the employee works, a review of his or her performance and a comparison of available compensation survey data for t and geographic area. The Committee examines each of the suggested compensation actions and, in its sole discretion, modifies the awards when appropriate to better the goals of the Company.</w:t>
      </w:r>
    </w:p>
    <w:p>
      <w:pPr>
        <w:spacing w:after="0" w:line="182" w:lineRule="exact"/>
        <w:rPr>
          <w:sz w:val="20"/>
          <w:szCs w:val="20"/>
          <w:color w:val="auto"/>
        </w:rPr>
      </w:pPr>
    </w:p>
    <w:p>
      <w:pPr>
        <w:ind w:firstLine="709"/>
        <w:spacing w:after="0" w:line="248" w:lineRule="auto"/>
        <w:rPr>
          <w:sz w:val="20"/>
          <w:szCs w:val="20"/>
          <w:color w:val="auto"/>
        </w:rPr>
      </w:pPr>
      <w:r>
        <w:rPr>
          <w:rFonts w:ascii="Arial" w:cs="Arial" w:eastAsia="Arial" w:hAnsi="Arial"/>
          <w:sz w:val="17"/>
          <w:szCs w:val="17"/>
          <w:color w:val="auto"/>
        </w:rPr>
        <w:t>At his request, Mr. Graham has not received a raise in his annual salary nor has he received an annual bonus since 1991. He stopped accepting grants of Restricted Stock in the Company in 2004 and requested that he receive no payment for his performance units beginning with the 2007-2010 award cycle. All compen for Ms. McDaniel is determined solely by the Chief Executive Officer and the Committee. The Chief Executive Officer and the Committee use the same performance criteria to set Ms. McDaniel’s compensation as they do for all other named executive officers and other senior staff. Ms. McDaniel is asked to leave the Committee meetings when her performance is discussed.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Executive Compensation</w:t>
      </w:r>
    </w:p>
    <w:p>
      <w:pPr>
        <w:spacing w:after="0" w:line="206" w:lineRule="exact"/>
        <w:rPr>
          <w:sz w:val="20"/>
          <w:szCs w:val="20"/>
          <w:color w:val="auto"/>
        </w:rPr>
      </w:pPr>
    </w:p>
    <w:p>
      <w:pPr>
        <w:jc w:val="both"/>
        <w:ind w:firstLine="709"/>
        <w:spacing w:after="0" w:line="332" w:lineRule="auto"/>
        <w:rPr>
          <w:sz w:val="20"/>
          <w:szCs w:val="20"/>
          <w:color w:val="auto"/>
        </w:rPr>
      </w:pPr>
      <w:r>
        <w:rPr>
          <w:rFonts w:ascii="Arial" w:cs="Arial" w:eastAsia="Arial" w:hAnsi="Arial"/>
          <w:sz w:val="14"/>
          <w:szCs w:val="14"/>
          <w:color w:val="auto"/>
        </w:rPr>
        <w:t>To meet its objectives, the Committee asks the Chief Executive Officer and the secretary of the Committee to draft annual and long-term incentive-based c and non-cash executive compensation plans. The Committee reviews and, in its sole discretion, modifies the formula and goals established for various awards under t plans before the plans take effect, which is typically no later than the end of the first quarter of the first year covered by the plan.</w:t>
      </w:r>
    </w:p>
    <w:p>
      <w:pPr>
        <w:spacing w:after="0" w:line="126" w:lineRule="exact"/>
        <w:rPr>
          <w:sz w:val="20"/>
          <w:szCs w:val="20"/>
          <w:color w:val="auto"/>
        </w:rPr>
      </w:pPr>
    </w:p>
    <w:p>
      <w:pPr>
        <w:ind w:firstLine="709"/>
        <w:spacing w:after="0" w:line="314" w:lineRule="auto"/>
        <w:rPr>
          <w:sz w:val="20"/>
          <w:szCs w:val="20"/>
          <w:color w:val="auto"/>
        </w:rPr>
      </w:pPr>
      <w:r>
        <w:rPr>
          <w:rFonts w:ascii="Arial" w:cs="Arial" w:eastAsia="Arial" w:hAnsi="Arial"/>
          <w:sz w:val="14"/>
          <w:szCs w:val="14"/>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2012 Incentive Compensation Plan meet the requirements of Section 162(m) of the Internal Re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compensation package offered by the Company to its executive officers consists of the following components:</w:t>
      </w:r>
    </w:p>
    <w:p>
      <w:pPr>
        <w:spacing w:after="0" w:line="14" w:lineRule="exact"/>
        <w:rPr>
          <w:sz w:val="20"/>
          <w:szCs w:val="20"/>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Competitive base salary;</w:t>
      </w:r>
    </w:p>
    <w:p>
      <w:pPr>
        <w:spacing w:after="0" w:line="3" w:lineRule="exact"/>
        <w:rPr>
          <w:rFonts w:ascii="Arial" w:cs="Arial" w:eastAsia="Arial" w:hAnsi="Arial"/>
          <w:sz w:val="17"/>
          <w:szCs w:val="17"/>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Short-term incentive compensation in the form of performance-based annual bonuses;</w:t>
      </w:r>
    </w:p>
    <w:p>
      <w:pPr>
        <w:spacing w:after="0" w:line="3" w:lineRule="exact"/>
        <w:rPr>
          <w:rFonts w:ascii="Arial" w:cs="Arial" w:eastAsia="Arial" w:hAnsi="Arial"/>
          <w:sz w:val="17"/>
          <w:szCs w:val="17"/>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Long-term incentive compensation, typically based on performance over three to four years;</w:t>
      </w:r>
    </w:p>
    <w:p>
      <w:pPr>
        <w:spacing w:after="0" w:line="3" w:lineRule="exact"/>
        <w:rPr>
          <w:rFonts w:ascii="Arial" w:cs="Arial" w:eastAsia="Arial" w:hAnsi="Arial"/>
          <w:sz w:val="17"/>
          <w:szCs w:val="17"/>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Long-term equity-based incentive compensation in the form of restricted stock and stock options;</w:t>
      </w:r>
    </w:p>
    <w:p>
      <w:pPr>
        <w:spacing w:after="0" w:line="3" w:lineRule="exact"/>
        <w:rPr>
          <w:rFonts w:ascii="Arial" w:cs="Arial" w:eastAsia="Arial" w:hAnsi="Arial"/>
          <w:sz w:val="17"/>
          <w:szCs w:val="17"/>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Perquisites; and</w:t>
      </w:r>
    </w:p>
    <w:p>
      <w:pPr>
        <w:spacing w:after="0" w:line="3" w:lineRule="exact"/>
        <w:rPr>
          <w:rFonts w:ascii="Arial" w:cs="Arial" w:eastAsia="Arial" w:hAnsi="Arial"/>
          <w:sz w:val="17"/>
          <w:szCs w:val="17"/>
          <w:color w:val="auto"/>
        </w:rPr>
      </w:pPr>
    </w:p>
    <w:p>
      <w:pPr>
        <w:ind w:left="1280" w:hanging="98"/>
        <w:spacing w:after="0"/>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Retirement benefits.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06" w:lineRule="exact"/>
        <w:rPr>
          <w:sz w:val="20"/>
          <w:szCs w:val="20"/>
          <w:color w:val="auto"/>
        </w:rPr>
      </w:pPr>
    </w:p>
    <w:p>
      <w:pPr>
        <w:ind w:firstLine="709"/>
        <w:spacing w:after="0" w:line="263" w:lineRule="auto"/>
        <w:rPr>
          <w:sz w:val="20"/>
          <w:szCs w:val="20"/>
          <w:color w:val="auto"/>
        </w:rPr>
      </w:pPr>
      <w:r>
        <w:rPr>
          <w:rFonts w:ascii="Arial" w:cs="Arial" w:eastAsia="Arial" w:hAnsi="Arial"/>
          <w:sz w:val="16"/>
          <w:szCs w:val="16"/>
          <w:color w:val="auto"/>
        </w:rPr>
        <w:t>The Company pays named executive officers base salaries to compensate them for services rendered during the fiscal year. Salaries for named executive of are based on their responsibilities, their prior experience and their recent performance, and are evaluated against market data provided by outside surveys. In 2012, th Committee reviewed data from Towers Watson surveys of U.S. General Industry and Media executives and the Equilar Top 25 Survey. The Company compares its management salaries to those of companies in similar industries and with comparable revenues in order to get a general understanding of the compensation structures maintained by similarly situated companies, but does not target its executive compensation at a certain level or percentage based upon other companies’ arrangement Salaries are typically reviewed on a 12-month or longer cycle, except when there is a significant change in an executive’s responsibilities during a shorter period of ti Such adjustments are determined by evaluating (i) the scope of the new responsibilities, (ii) the competitive market value of that role, (iii) the performance of the indi and (iv) the performance of the Company.</w:t>
      </w:r>
    </w:p>
    <w:p>
      <w:pPr>
        <w:spacing w:after="0" w:line="19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4" w:right="139" w:bottom="1440" w:gutter="0" w:footer="0" w:header="0"/>
        </w:sectPr>
      </w:pPr>
    </w:p>
    <w:bookmarkStart w:id="20" w:name="page21"/>
    <w:bookmarkEnd w:id="20"/>
    <w:p>
      <w:pPr>
        <w:ind w:firstLine="709"/>
        <w:spacing w:after="0" w:line="310" w:lineRule="auto"/>
        <w:rPr>
          <w:sz w:val="20"/>
          <w:szCs w:val="20"/>
          <w:color w:val="auto"/>
        </w:rPr>
      </w:pPr>
      <w:r>
        <w:rPr>
          <w:rFonts w:ascii="Arial" w:cs="Arial" w:eastAsia="Arial" w:hAnsi="Arial"/>
          <w:sz w:val="14"/>
          <w:szCs w:val="14"/>
          <w:color w:val="auto"/>
        </w:rPr>
        <w:t>With respect to the base salary paid to Mr. Graham in 2012, the Committee took into account a comparison of base salaries paid to chief executive officers peer education and media companies, the Company’s results in 2011 and Mr. Graham’s performance since 1979, when he became publisher of The Washington Post. Committee noted that Mr. Graham’s base salary was, and has long been, significantly below the median of base salaries paid to chief executive officers of these peer companies: other prominent media companies, including The New York Times Company and Gannett Co., Inc.; and publicly held education companies, including Ap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Incentive Compensation</w:t>
      </w:r>
    </w:p>
    <w:p>
      <w:pPr>
        <w:spacing w:after="0" w:line="206" w:lineRule="exact"/>
        <w:rPr>
          <w:sz w:val="20"/>
          <w:szCs w:val="20"/>
          <w:color w:val="auto"/>
        </w:rPr>
      </w:pPr>
    </w:p>
    <w:p>
      <w:pPr>
        <w:jc w:val="both"/>
        <w:ind w:firstLine="709"/>
        <w:spacing w:after="0" w:line="305" w:lineRule="auto"/>
        <w:rPr>
          <w:sz w:val="20"/>
          <w:szCs w:val="20"/>
          <w:color w:val="auto"/>
        </w:rPr>
      </w:pPr>
      <w:r>
        <w:rPr>
          <w:rFonts w:ascii="Arial" w:cs="Arial" w:eastAsia="Arial" w:hAnsi="Arial"/>
          <w:sz w:val="14"/>
          <w:szCs w:val="14"/>
          <w:color w:val="auto"/>
        </w:rPr>
        <w:t>To supplement base salaries and to reward management (including named executive officers and other employees key to the long-term success of the Com for meeting specific individual and financial goals, the Class A Shareholders of the Company adopted in December 1981 the Long-Term Incentive Compensation Pla 2001, the Annual Compensation Plan, originally approved by the Class A Shareholders in February 1974, was combined with the Long-Term Incentive Compensatio to create the Incentive Compensation Plan. In May 2012, the Class A and Class B Shareholders of the Company adopted the 2012 Incentive Compensation Plan (the “Plan”). The Incentive Compensation Plan was combined with the Stock Option Plan, which the shareholders reauthorized in 2003, to create the Plan. The purpose o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277 employees of the Compa who are participants under the Plan and receive annual bonus awards and/or hold restricted stock, and/or stock options, and/or grants of Performance Units. Each nam executive officer, except Mr. Graham (who only participates in the Performance Units portion of the Plan), participates in each of these programs.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Plan calls for annual incentive compensation awards based on the Company and its business units’ financial performance compared to goals set imme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prior to or at the beginning of the year in which the award is to be earned. The payout upon the achievement of such goals is equal to a percentage of base salary, whi</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also set at the beginning of the year. Those percentages are determined on an individual basis, taking into account the responsibilities, prior experience and recent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performance of the relevant employee. The 2012 target percentage for each of the named executive officers was as follows: Mr. Jones, 50%; Mr. Rosberg, 40%;</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Ms. McDaniel, 70% (to reflect additional responsibilities relating to the management of Slate, Post-Newsweek Media, and the Herald); and Ms. Dillon, 40%. Mr. Gra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has asked the Committee not to grant him an annual bonus award. Bonus awards are usually paid in the first quarter of the year following the year in which they were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earned. In 2012, the Compensation Committee certified that certain performance criteria had been achieved prior to the close of the fiscal year and approved early pa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of the achieved portion of executive and management bonuses. As a result, the named executive officers were paid a portion of their 2012 bonus on December 27, 20</w:t>
      </w:r>
    </w:p>
    <w:p>
      <w:pPr>
        <w:spacing w:after="0" w:line="225" w:lineRule="exact"/>
        <w:rPr>
          <w:sz w:val="20"/>
          <w:szCs w:val="20"/>
          <w:color w:val="auto"/>
        </w:rPr>
      </w:pPr>
    </w:p>
    <w:p>
      <w:pPr>
        <w:jc w:val="both"/>
        <w:ind w:firstLine="709"/>
        <w:spacing w:after="0" w:line="320" w:lineRule="auto"/>
        <w:rPr>
          <w:sz w:val="20"/>
          <w:szCs w:val="20"/>
          <w:color w:val="auto"/>
        </w:rPr>
      </w:pPr>
      <w:r>
        <w:rPr>
          <w:rFonts w:ascii="Arial" w:cs="Arial" w:eastAsia="Arial" w:hAnsi="Arial"/>
          <w:sz w:val="14"/>
          <w:szCs w:val="14"/>
          <w:color w:val="auto"/>
        </w:rPr>
        <w:t>In 2012, the annual bonus formula for the named executive officers was based on an earnings per share target because the Committee believed that such a would align the interests of shareholders and the named executive officers in growing the value of the Company. Management and the Committee believe that they ha designed the targets to be challenging, but achievable. The Company has achieved its financial goals and paid out at target or above in the bonus portion of the Plan i of the past five years; in two of the past five years, the Company achieved less than 100% of its earnings per share goal, as adjusted to exclude certain items.</w:t>
      </w:r>
    </w:p>
    <w:p>
      <w:pPr>
        <w:spacing w:after="0" w:line="134" w:lineRule="exact"/>
        <w:rPr>
          <w:sz w:val="20"/>
          <w:szCs w:val="20"/>
          <w:color w:val="auto"/>
        </w:rPr>
      </w:pPr>
    </w:p>
    <w:p>
      <w:pPr>
        <w:jc w:val="both"/>
        <w:ind w:firstLine="709"/>
        <w:spacing w:after="0" w:line="303" w:lineRule="auto"/>
        <w:rPr>
          <w:sz w:val="20"/>
          <w:szCs w:val="20"/>
          <w:color w:val="auto"/>
        </w:rPr>
      </w:pPr>
      <w:r>
        <w:rPr>
          <w:rFonts w:ascii="Arial" w:cs="Arial" w:eastAsia="Arial" w:hAnsi="Arial"/>
          <w:sz w:val="14"/>
          <w:szCs w:val="14"/>
          <w:color w:val="auto"/>
        </w:rPr>
        <w:t>In 2012, the Company achieved 107% of its earnings per share goal of $24.04, as adjusted to exclude certain items based upon the annual formula, and tak into account Compensation Committee discretion to exclude certain write-downs and charges. In setting that goal, the Compensation Committee established a formul bonus purposes that included adjustments for certain items, to the extent that actual amounts varied from those in the 2012 annual budget, which was used as the basi determining the per share goal of $24.04. Specifically, these adjustments included credits for unbudgeted divestitures and foreign exchange gains and a Kaplan stock compensation expense budget variance, offset by additions for unbudgeted acquisitions and a pension budget variance. In making its final bonus determinations for th named executive officers, the Compensation Committee also exercised its discretion to exclude certain unusual and unbudgeted items, in addition to the adjustments included in the formula, from its calculation of the earnings per share goal. Specifically, the adjustments included unbudgeted severance and restructuring charges at and WP Media, a noncash goodwill and other long-lived assets impairment charge at one of the Kaplan businesses, and a write-down of a marketable equity security. Compensation Committee adjusted for these items as they do not relate to the regular operating results that are customarily considered by the Committee in determini bonus amounts. The exhibit to the Company’s Form 8-K filed on February 22, 2013, detailed these items, as does page 54 of the Company’s Annual Report on Form filed on February 28, 2013. These items collectively amounted to $8.40 in diluted earnings per share net additions, or 100% of the total adjustments made.</w:t>
      </w:r>
    </w:p>
    <w:p>
      <w:pPr>
        <w:spacing w:after="0" w:line="17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8" w:right="139" w:bottom="1440" w:gutter="0" w:footer="0" w:header="0"/>
        </w:sectPr>
      </w:pPr>
    </w:p>
    <w:bookmarkStart w:id="21" w:name="page22"/>
    <w:bookmarkEnd w:id="21"/>
    <w:p>
      <w:pPr>
        <w:jc w:val="both"/>
        <w:ind w:left="580" w:firstLine="709"/>
        <w:spacing w:after="0" w:line="252" w:lineRule="auto"/>
        <w:rPr>
          <w:sz w:val="20"/>
          <w:szCs w:val="20"/>
          <w:color w:val="auto"/>
        </w:rPr>
      </w:pPr>
      <w:r>
        <w:rPr>
          <w:rFonts w:ascii="Arial" w:cs="Arial" w:eastAsia="Arial" w:hAnsi="Arial"/>
          <w:sz w:val="17"/>
          <w:szCs w:val="17"/>
          <w:color w:val="auto"/>
        </w:rPr>
        <w:t>Taking into account these adjustments, the Company’s diluted earnings per share, as adjusted for purposes of the bonus determination, was $25.79, compar reported diluted earnings per share of $17.39 and a diluted earnings per share goal of $24.04. As a result, the annual bonus payout was approximately 117% of target, on the established annual formula.</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02" w:lineRule="exact"/>
        <w:rPr>
          <w:sz w:val="20"/>
          <w:szCs w:val="20"/>
          <w:color w:val="auto"/>
        </w:rPr>
      </w:pPr>
    </w:p>
    <w:p>
      <w:pPr>
        <w:ind w:left="580" w:firstLine="709"/>
        <w:spacing w:after="0" w:line="314" w:lineRule="auto"/>
        <w:rPr>
          <w:sz w:val="20"/>
          <w:szCs w:val="20"/>
          <w:color w:val="auto"/>
        </w:rPr>
      </w:pPr>
      <w:r>
        <w:rPr>
          <w:rFonts w:ascii="Arial" w:cs="Arial" w:eastAsia="Arial" w:hAnsi="Arial"/>
          <w:sz w:val="14"/>
          <w:szCs w:val="14"/>
          <w:color w:val="auto"/>
        </w:rPr>
        <w:t>No target stock ownership level exists for the named executive officers, but to align the interests of Shareholders and management and to ensure that the fu potential of an executive’s compensation package cannot be realized unless stock appreciation occurs over a number of years, the Plan also provides for grants of rest stock in the Company. To determine the number of shares to be granted, the Committee considers on an individual basis the likely value of shares already held, the le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Performance Units</w:t>
      </w:r>
    </w:p>
    <w:p>
      <w:pPr>
        <w:spacing w:after="0" w:line="202" w:lineRule="exact"/>
        <w:rPr>
          <w:sz w:val="20"/>
          <w:szCs w:val="20"/>
          <w:color w:val="auto"/>
        </w:rPr>
      </w:pPr>
    </w:p>
    <w:p>
      <w:pPr>
        <w:jc w:val="both"/>
        <w:ind w:left="580" w:firstLine="670"/>
        <w:spacing w:after="0" w:line="308" w:lineRule="auto"/>
        <w:rPr>
          <w:sz w:val="20"/>
          <w:szCs w:val="20"/>
          <w:color w:val="auto"/>
        </w:rPr>
      </w:pPr>
      <w:r>
        <w:rPr>
          <w:rFonts w:ascii="Arial" w:cs="Arial" w:eastAsia="Arial" w:hAnsi="Arial"/>
          <w:sz w:val="14"/>
          <w:szCs w:val="14"/>
          <w:color w:val="auto"/>
        </w:rPr>
        <w:t>To highlight specific long-term financial goals, the Plan provides for Performance Unit Plans. All named executive officers participate in these plans, in wh performance-based goals are determined at the beginning of each four-year award cycle. The goals consider operating income, peer company performance, cash flow earnings per share, measures of economic value added, print product circulation and/or quantitative revenue growth or profitability measurements of the Company as whole or of individual business units. Management and the Committee believe that they have designed the performance-based goals to be challenging, but achievable three of the past four award cycles, the Company exceeded its goals and paid out above target. In one of the past four award cycles, the targeted performance goals w met, and the plan paid out below target. Each performance unit has a nominal value of $100. The maximum payout of performance units is $200 per unit, and the pay of a total award to any individual at the end of an award cycle may not exceed $5 million.</w:t>
      </w:r>
    </w:p>
    <w:p>
      <w:pPr>
        <w:spacing w:after="0" w:line="142" w:lineRule="exact"/>
        <w:rPr>
          <w:sz w:val="20"/>
          <w:szCs w:val="20"/>
          <w:color w:val="auto"/>
        </w:rPr>
      </w:pPr>
    </w:p>
    <w:p>
      <w:pPr>
        <w:jc w:val="both"/>
        <w:ind w:left="580" w:firstLine="670"/>
        <w:spacing w:after="0" w:line="320" w:lineRule="auto"/>
        <w:rPr>
          <w:sz w:val="20"/>
          <w:szCs w:val="20"/>
          <w:color w:val="auto"/>
        </w:rPr>
      </w:pPr>
      <w:r>
        <w:rPr>
          <w:rFonts w:ascii="Arial" w:cs="Arial" w:eastAsia="Arial" w:hAnsi="Arial"/>
          <w:sz w:val="14"/>
          <w:szCs w:val="14"/>
          <w:color w:val="auto"/>
        </w:rPr>
        <w:t>For each cycle under a Performance Unit Plan, the Committee establishes a valuation formula at the start of the cycle. At the end of the cycle, the unit valu calculated based on application of the formula, and payments are made to named executive officers in the year following the end of the cycle. The formula used to ca the payouts is determined by (i) a weighted combination of factors that relate to individual business unit performance of the Company’s operating divisions and (ii) th discretion of the Compensation Committee. A new four-year cycle commences every two years, with the result that there are always two overlapping cycles in progre</w:t>
      </w:r>
    </w:p>
    <w:p>
      <w:pPr>
        <w:spacing w:after="0" w:line="134" w:lineRule="exact"/>
        <w:rPr>
          <w:sz w:val="20"/>
          <w:szCs w:val="20"/>
          <w:color w:val="auto"/>
        </w:rPr>
      </w:pPr>
    </w:p>
    <w:p>
      <w:pPr>
        <w:jc w:val="both"/>
        <w:ind w:left="580" w:firstLine="667"/>
        <w:spacing w:after="0" w:line="304" w:lineRule="auto"/>
        <w:rPr>
          <w:sz w:val="20"/>
          <w:szCs w:val="20"/>
          <w:color w:val="auto"/>
        </w:rPr>
      </w:pPr>
      <w:r>
        <w:rPr>
          <w:rFonts w:ascii="Arial" w:cs="Arial" w:eastAsia="Arial" w:hAnsi="Arial"/>
          <w:sz w:val="14"/>
          <w:szCs w:val="14"/>
          <w:color w:val="auto"/>
        </w:rPr>
        <w:t xml:space="preserve">Awards under the 2009–2012 and 2011–2014 cycles are based on a two-pronged formula. The 2009–2012 cycle formula consists of an average of the value performance units allocable to 2009–2010 performance of Washington Post Media (the “Post”), Newsweek, Cable ONE, Inc. (“Cable ONE”) and Post–Newsweek St Inc. (“PNS”) (40%), plus an average of the value of the performance units allocable to 2009–2012 performance of the Post, Cable ONE and PNS (60%). The 2011–2 cycle formula consists of an average of the value of the performance units allocable to performance of the Post, Cable ONE and PNS (65%), plus an amount based on Kaplan’s achievement of cumulative operating income goals during the four-year period, excluding Kaplan stock compensation expense and restructuring charge (35 2012, the formulas for the 2009–2012 and 2011–2014 cycles were modified as to the Kaplan results, which were affected by unexpected and non-recurring events an circumstances. Washington Post Media is comprised of several of the Company’s publishing operations, including: The Washington Post; </w:t>
      </w:r>
      <w:r>
        <w:rPr>
          <w:rFonts w:ascii="Arial" w:cs="Arial" w:eastAsia="Arial" w:hAnsi="Arial"/>
          <w:sz w:val="14"/>
          <w:szCs w:val="14"/>
          <w:i w:val="1"/>
          <w:iCs w:val="1"/>
          <w:color w:val="auto"/>
        </w:rPr>
        <w:t>washingtonpost.com</w:t>
      </w:r>
      <w:r>
        <w:rPr>
          <w:rFonts w:ascii="Arial" w:cs="Arial" w:eastAsia="Arial" w:hAnsi="Arial"/>
          <w:sz w:val="14"/>
          <w:szCs w:val="14"/>
          <w:color w:val="auto"/>
        </w:rPr>
        <w:t>; Expre free weekday tabloid newspaper; and El Tiempo Latino, a weekly Spanish-language newspaper. The Committee selected these targets because they reflected the key priorities for the Company on the grant date for the applicable time periods. The value of Performance Units in the 2009–2012 and 2011–2014 cycles are determined conclusion of those cycles based on the performance criteria described below.</w:t>
      </w:r>
    </w:p>
    <w:p>
      <w:pPr>
        <w:spacing w:after="0" w:line="145" w:lineRule="exact"/>
        <w:rPr>
          <w:sz w:val="20"/>
          <w:szCs w:val="20"/>
          <w:color w:val="auto"/>
        </w:rPr>
      </w:pPr>
    </w:p>
    <w:p>
      <w:pPr>
        <w:ind w:left="580" w:firstLine="667"/>
        <w:spacing w:after="0" w:line="265" w:lineRule="auto"/>
        <w:rPr>
          <w:sz w:val="20"/>
          <w:szCs w:val="20"/>
          <w:color w:val="auto"/>
        </w:rPr>
      </w:pPr>
      <w:r>
        <w:rPr>
          <w:rFonts w:ascii="Arial" w:cs="Arial" w:eastAsia="Arial" w:hAnsi="Arial"/>
          <w:sz w:val="16"/>
          <w:szCs w:val="16"/>
          <w:color w:val="auto"/>
        </w:rPr>
        <w:t>The performance measures used in the formula at the Post under the 2009–2012 cycle are based on operating results and, under certain circumstances, the financial performance of the Post relative to its peer group. If the Post breaks even or shows a profit in operating income in 2011 and 2012, the value of each Perform Unit will be $200 per unit. If the Post breaks even or shows a profit in operating income in either 2011 or 2012, the value of each Performance Unit will be $100 per the Post fails to break even but shows material improvement in operating income in 2010, 2011 and 2012 and outperforms its peer group in each of those years, the p will be $50 per unit. The performance measure used in the formula at the Post under the 2011–2014 cycle is cumulative operating income relative to a breakeven targ Valuation of performance units, based on this measure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Performance</w:t>
            </w:r>
          </w:p>
        </w:tc>
        <w:tc>
          <w:tcPr>
            <w:tcW w:w="5960" w:type="dxa"/>
            <w:vAlign w:val="bottom"/>
            <w:gridSpan w:val="4"/>
          </w:tcPr>
          <w:p>
            <w:pPr>
              <w:ind w:left="960"/>
              <w:spacing w:after="0"/>
              <w:rPr>
                <w:sz w:val="20"/>
                <w:szCs w:val="20"/>
                <w:color w:val="auto"/>
              </w:rPr>
            </w:pPr>
            <w:r>
              <w:rPr>
                <w:rFonts w:ascii="Arial" w:cs="Arial" w:eastAsia="Arial" w:hAnsi="Arial"/>
                <w:sz w:val="13"/>
                <w:szCs w:val="13"/>
                <w:b w:val="1"/>
                <w:bCs w:val="1"/>
                <w:color w:val="auto"/>
              </w:rPr>
              <w:t>Unit Value</w:t>
            </w:r>
          </w:p>
        </w:tc>
      </w:tr>
      <w:tr>
        <w:trPr>
          <w:trHeight w:val="20"/>
        </w:trPr>
        <w:tc>
          <w:tcPr>
            <w:tcW w:w="3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39"/>
        </w:trPr>
        <w:tc>
          <w:tcPr>
            <w:tcW w:w="354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Greater than $86M</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720" w:type="dxa"/>
            <w:vAlign w:val="bottom"/>
            <w:gridSpan w:val="2"/>
          </w:tcPr>
          <w:p>
            <w:pPr>
              <w:jc w:val="right"/>
              <w:ind w:right="4400"/>
              <w:spacing w:after="0"/>
              <w:rPr>
                <w:sz w:val="20"/>
                <w:szCs w:val="20"/>
                <w:color w:val="auto"/>
              </w:rPr>
            </w:pPr>
            <w:r>
              <w:rPr>
                <w:rFonts w:ascii="Arial" w:cs="Arial" w:eastAsia="Arial" w:hAnsi="Arial"/>
                <w:sz w:val="17"/>
                <w:szCs w:val="17"/>
                <w:color w:val="auto"/>
              </w:rPr>
              <w:t>200</w:t>
            </w:r>
          </w:p>
        </w:tc>
      </w:tr>
      <w:tr>
        <w:trPr>
          <w:trHeight w:val="248"/>
        </w:trPr>
        <w:tc>
          <w:tcPr>
            <w:tcW w:w="354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$66M to $85M</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720" w:type="dxa"/>
            <w:vAlign w:val="bottom"/>
            <w:gridSpan w:val="2"/>
          </w:tcPr>
          <w:p>
            <w:pPr>
              <w:jc w:val="right"/>
              <w:ind w:right="4400"/>
              <w:spacing w:after="0"/>
              <w:rPr>
                <w:sz w:val="20"/>
                <w:szCs w:val="20"/>
                <w:color w:val="auto"/>
              </w:rPr>
            </w:pPr>
            <w:r>
              <w:rPr>
                <w:rFonts w:ascii="Arial" w:cs="Arial" w:eastAsia="Arial" w:hAnsi="Arial"/>
                <w:sz w:val="17"/>
                <w:szCs w:val="17"/>
                <w:color w:val="auto"/>
              </w:rPr>
              <w:t>150</w:t>
            </w:r>
          </w:p>
        </w:tc>
      </w:tr>
      <w:tr>
        <w:trPr>
          <w:trHeight w:val="248"/>
        </w:trPr>
        <w:tc>
          <w:tcPr>
            <w:tcW w:w="354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$36M to $65M</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720" w:type="dxa"/>
            <w:vAlign w:val="bottom"/>
            <w:gridSpan w:val="2"/>
          </w:tcPr>
          <w:p>
            <w:pPr>
              <w:jc w:val="right"/>
              <w:ind w:right="4400"/>
              <w:spacing w:after="0"/>
              <w:rPr>
                <w:sz w:val="20"/>
                <w:szCs w:val="20"/>
                <w:color w:val="auto"/>
              </w:rPr>
            </w:pPr>
            <w:r>
              <w:rPr>
                <w:rFonts w:ascii="Arial" w:cs="Arial" w:eastAsia="Arial" w:hAnsi="Arial"/>
                <w:sz w:val="17"/>
                <w:szCs w:val="17"/>
                <w:color w:val="auto"/>
              </w:rPr>
              <w:t>100</w:t>
            </w:r>
          </w:p>
        </w:tc>
      </w:tr>
      <w:tr>
        <w:trPr>
          <w:trHeight w:val="248"/>
        </w:trPr>
        <w:tc>
          <w:tcPr>
            <w:tcW w:w="354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$0M to $35M</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720" w:type="dxa"/>
            <w:vAlign w:val="bottom"/>
            <w:gridSpan w:val="2"/>
          </w:tcPr>
          <w:p>
            <w:pPr>
              <w:jc w:val="right"/>
              <w:ind w:right="4400"/>
              <w:spacing w:after="0"/>
              <w:rPr>
                <w:sz w:val="20"/>
                <w:szCs w:val="20"/>
                <w:color w:val="auto"/>
              </w:rPr>
            </w:pPr>
            <w:r>
              <w:rPr>
                <w:rFonts w:ascii="Arial" w:cs="Arial" w:eastAsia="Arial" w:hAnsi="Arial"/>
                <w:sz w:val="17"/>
                <w:szCs w:val="17"/>
                <w:color w:val="auto"/>
              </w:rPr>
              <w:t>50</w:t>
            </w:r>
          </w:p>
        </w:tc>
      </w:tr>
      <w:tr>
        <w:trPr>
          <w:trHeight w:val="248"/>
        </w:trPr>
        <w:tc>
          <w:tcPr>
            <w:tcW w:w="354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Less than $0M</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4400" w:type="dxa"/>
            <w:vAlign w:val="bottom"/>
          </w:tcPr>
          <w:p>
            <w:pPr>
              <w:spacing w:after="0"/>
              <w:rPr>
                <w:sz w:val="21"/>
                <w:szCs w:val="21"/>
                <w:color w:val="auto"/>
              </w:rPr>
            </w:pPr>
          </w:p>
        </w:tc>
      </w:tr>
      <w:tr>
        <w:trPr>
          <w:trHeight w:val="223"/>
        </w:trPr>
        <w:tc>
          <w:tcPr>
            <w:tcW w:w="3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308"/>
        </w:trPr>
        <w:tc>
          <w:tcPr>
            <w:tcW w:w="35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48" w:right="1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In all cases, the performance measure of operating income excludes pension expense.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2009–2012 cycle, the Post showed a profit in operating income in 2011 and 2012, resulting in a payout value of $200 per unit.</w:t>
      </w:r>
    </w:p>
    <w:p>
      <w:pPr>
        <w:spacing w:after="0" w:line="202" w:lineRule="exact"/>
        <w:rPr>
          <w:sz w:val="20"/>
          <w:szCs w:val="20"/>
          <w:color w:val="auto"/>
        </w:rPr>
      </w:pPr>
    </w:p>
    <w:p>
      <w:pPr>
        <w:jc w:val="both"/>
        <w:ind w:firstLine="715"/>
        <w:spacing w:after="0" w:line="252" w:lineRule="auto"/>
        <w:rPr>
          <w:sz w:val="20"/>
          <w:szCs w:val="20"/>
          <w:color w:val="auto"/>
        </w:rPr>
      </w:pPr>
      <w:r>
        <w:rPr>
          <w:rFonts w:ascii="Arial" w:cs="Arial" w:eastAsia="Arial" w:hAnsi="Arial"/>
          <w:sz w:val="17"/>
          <w:szCs w:val="17"/>
          <w:color w:val="auto"/>
        </w:rPr>
        <w:t>The performance measure used in the formula for Cable ONE for both the 2009–2012 and 2011–2014 cycles is cumulative free cash flow relative to a targ amount. Free cash flow is defined as operating income, plus depreciation and amortization, less capital expenditures. Valuation of performance units, based on this m is as follows:</w:t>
      </w:r>
    </w:p>
    <w:p>
      <w:pPr>
        <w:spacing w:after="0" w:line="302" w:lineRule="exact"/>
        <w:rPr>
          <w:sz w:val="20"/>
          <w:szCs w:val="20"/>
          <w:color w:val="auto"/>
        </w:rPr>
      </w:pPr>
    </w:p>
    <w:tbl>
      <w:tblPr>
        <w:tblLayout w:type="fixed"/>
        <w:tblInd w:w="296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Performance</w:t>
            </w:r>
          </w:p>
        </w:tc>
        <w:tc>
          <w:tcPr>
            <w:tcW w:w="1580" w:type="dxa"/>
            <w:vAlign w:val="bottom"/>
            <w:gridSpan w:val="3"/>
          </w:tcPr>
          <w:p>
            <w:pPr>
              <w:jc w:val="right"/>
              <w:spacing w:after="0"/>
              <w:rPr>
                <w:sz w:val="20"/>
                <w:szCs w:val="20"/>
                <w:color w:val="auto"/>
              </w:rPr>
            </w:pPr>
            <w:r>
              <w:rPr>
                <w:rFonts w:ascii="Arial" w:cs="Arial" w:eastAsia="Arial" w:hAnsi="Arial"/>
                <w:sz w:val="13"/>
                <w:szCs w:val="13"/>
                <w:b w:val="1"/>
                <w:bCs w:val="1"/>
                <w:color w:val="auto"/>
              </w:rPr>
              <w:t>Unit Value</w:t>
            </w:r>
          </w:p>
        </w:tc>
      </w:tr>
      <w:tr>
        <w:trPr>
          <w:trHeight w:val="239"/>
        </w:trPr>
        <w:tc>
          <w:tcPr>
            <w:tcW w:w="7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110%</w:t>
            </w: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w:t>
            </w:r>
          </w:p>
        </w:tc>
      </w:tr>
      <w:tr>
        <w:trPr>
          <w:trHeight w:val="248"/>
        </w:trPr>
        <w:tc>
          <w:tcPr>
            <w:tcW w:w="740" w:type="dxa"/>
            <w:vAlign w:val="bottom"/>
          </w:tcPr>
          <w:p>
            <w:pPr>
              <w:spacing w:after="0"/>
              <w:rPr>
                <w:sz w:val="20"/>
                <w:szCs w:val="20"/>
                <w:color w:val="auto"/>
              </w:rPr>
            </w:pPr>
            <w:r>
              <w:rPr>
                <w:rFonts w:ascii="Arial" w:cs="Arial" w:eastAsia="Arial" w:hAnsi="Arial"/>
                <w:sz w:val="17"/>
                <w:szCs w:val="17"/>
                <w:color w:val="auto"/>
              </w:rPr>
              <w:t>105%</w:t>
            </w:r>
          </w:p>
        </w:tc>
        <w:tc>
          <w:tcPr>
            <w:tcW w:w="1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48"/>
        </w:trPr>
        <w:tc>
          <w:tcPr>
            <w:tcW w:w="1940" w:type="dxa"/>
            <w:vAlign w:val="bottom"/>
            <w:gridSpan w:val="2"/>
          </w:tcPr>
          <w:p>
            <w:pPr>
              <w:spacing w:after="0"/>
              <w:rPr>
                <w:sz w:val="20"/>
                <w:szCs w:val="20"/>
                <w:color w:val="auto"/>
              </w:rPr>
            </w:pPr>
            <w:r>
              <w:rPr>
                <w:rFonts w:ascii="Arial" w:cs="Arial" w:eastAsia="Arial" w:hAnsi="Arial"/>
                <w:sz w:val="17"/>
                <w:szCs w:val="17"/>
                <w:color w:val="auto"/>
              </w:rPr>
              <w:t>110% Target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40" w:type="dxa"/>
            <w:vAlign w:val="bottom"/>
          </w:tcPr>
          <w:p>
            <w:pPr>
              <w:spacing w:after="0"/>
              <w:rPr>
                <w:sz w:val="20"/>
                <w:szCs w:val="20"/>
                <w:color w:val="auto"/>
              </w:rPr>
            </w:pPr>
            <w:r>
              <w:rPr>
                <w:rFonts w:ascii="Arial" w:cs="Arial" w:eastAsia="Arial" w:hAnsi="Arial"/>
                <w:sz w:val="17"/>
                <w:szCs w:val="17"/>
                <w:color w:val="auto"/>
              </w:rPr>
              <w:t>91%</w:t>
            </w:r>
          </w:p>
        </w:tc>
        <w:tc>
          <w:tcPr>
            <w:tcW w:w="1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8"/>
        </w:trPr>
        <w:tc>
          <w:tcPr>
            <w:tcW w:w="1940" w:type="dxa"/>
            <w:vAlign w:val="bottom"/>
            <w:gridSpan w:val="2"/>
          </w:tcPr>
          <w:p>
            <w:pPr>
              <w:spacing w:after="0"/>
              <w:rPr>
                <w:sz w:val="20"/>
                <w:szCs w:val="20"/>
                <w:color w:val="auto"/>
              </w:rPr>
            </w:pPr>
            <w:r>
              <w:rPr>
                <w:rFonts w:ascii="Arial" w:cs="Arial" w:eastAsia="Arial" w:hAnsi="Arial"/>
                <w:sz w:val="17"/>
                <w:szCs w:val="17"/>
                <w:color w:val="auto"/>
              </w:rPr>
              <w:t>Less than 91%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the 2009–2012 cycle, Cable ONE’s results were 109.0% of the target amount, resulting in a payout value of $195 per unit.</w:t>
      </w:r>
    </w:p>
    <w:p>
      <w:pPr>
        <w:spacing w:after="0" w:line="202" w:lineRule="exact"/>
        <w:rPr>
          <w:sz w:val="20"/>
          <w:szCs w:val="20"/>
          <w:color w:val="auto"/>
        </w:rPr>
      </w:pPr>
    </w:p>
    <w:p>
      <w:pPr>
        <w:ind w:firstLine="715"/>
        <w:spacing w:after="0" w:line="270" w:lineRule="auto"/>
        <w:rPr>
          <w:sz w:val="20"/>
          <w:szCs w:val="20"/>
          <w:color w:val="auto"/>
        </w:rPr>
      </w:pPr>
      <w:r>
        <w:rPr>
          <w:rFonts w:ascii="Arial" w:cs="Arial" w:eastAsia="Arial" w:hAnsi="Arial"/>
          <w:sz w:val="16"/>
          <w:szCs w:val="16"/>
          <w:color w:val="auto"/>
        </w:rPr>
        <w:t>The performance measure used for PNS is PNS’s cumulative cash flow margin ranking compared to the cash flow margins of selected peer companies at t of the award cycle. Cash flow margin is computed based on operating income plus depreciation and amortization, as a percentage of revenue. As soon as practical aft award cycle, the Committee determines PNS’s cash flow margin rank among the cash flow margins of the peer companies and determines the payout value of each performance unit. The value of each performance unit is determined as set forth in the following table:</w:t>
      </w:r>
    </w:p>
    <w:p>
      <w:pPr>
        <w:spacing w:after="0" w:line="269" w:lineRule="exact"/>
        <w:rPr>
          <w:sz w:val="20"/>
          <w:szCs w:val="20"/>
          <w:color w:val="auto"/>
        </w:rPr>
      </w:pPr>
    </w:p>
    <w:tbl>
      <w:tblPr>
        <w:tblLayout w:type="fixed"/>
        <w:tblInd w:w="228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3"/>
          </w:tcPr>
          <w:p>
            <w:pPr>
              <w:jc w:val="center"/>
              <w:ind w:left="884"/>
              <w:spacing w:after="0"/>
              <w:rPr>
                <w:sz w:val="20"/>
                <w:szCs w:val="20"/>
                <w:color w:val="auto"/>
              </w:rPr>
            </w:pPr>
            <w:r>
              <w:rPr>
                <w:rFonts w:ascii="Arial" w:cs="Arial" w:eastAsia="Arial" w:hAnsi="Arial"/>
                <w:sz w:val="13"/>
                <w:szCs w:val="13"/>
                <w:b w:val="1"/>
                <w:bCs w:val="1"/>
                <w:color w:val="auto"/>
                <w:w w:val="90"/>
              </w:rPr>
              <w:t>2009-2012</w:t>
            </w:r>
          </w:p>
        </w:tc>
        <w:tc>
          <w:tcPr>
            <w:tcW w:w="480" w:type="dxa"/>
            <w:vAlign w:val="bottom"/>
          </w:tcPr>
          <w:p>
            <w:pPr>
              <w:spacing w:after="0"/>
              <w:rPr>
                <w:sz w:val="14"/>
                <w:szCs w:val="14"/>
                <w:color w:val="auto"/>
              </w:rPr>
            </w:pPr>
          </w:p>
        </w:tc>
        <w:tc>
          <w:tcPr>
            <w:tcW w:w="1060" w:type="dxa"/>
            <w:vAlign w:val="bottom"/>
            <w:gridSpan w:val="3"/>
          </w:tcPr>
          <w:p>
            <w:pPr>
              <w:jc w:val="center"/>
              <w:ind w:left="383"/>
              <w:spacing w:after="0"/>
              <w:rPr>
                <w:sz w:val="20"/>
                <w:szCs w:val="20"/>
                <w:color w:val="auto"/>
              </w:rPr>
            </w:pPr>
            <w:r>
              <w:rPr>
                <w:rFonts w:ascii="Arial" w:cs="Arial" w:eastAsia="Arial" w:hAnsi="Arial"/>
                <w:sz w:val="13"/>
                <w:szCs w:val="13"/>
                <w:b w:val="1"/>
                <w:bCs w:val="1"/>
                <w:color w:val="auto"/>
                <w:w w:val="90"/>
              </w:rPr>
              <w:t>2011-2014</w:t>
            </w:r>
          </w:p>
        </w:tc>
      </w:tr>
      <w:tr>
        <w:trPr>
          <w:trHeight w:val="199"/>
        </w:trPr>
        <w:tc>
          <w:tcPr>
            <w:tcW w:w="1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2"/>
              </w:rPr>
              <w:t>Cycle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center"/>
              <w:ind w:right="61"/>
              <w:spacing w:after="0"/>
              <w:rPr>
                <w:sz w:val="20"/>
                <w:szCs w:val="20"/>
                <w:color w:val="auto"/>
              </w:rPr>
            </w:pPr>
            <w:r>
              <w:rPr>
                <w:rFonts w:ascii="Arial" w:cs="Arial" w:eastAsia="Arial" w:hAnsi="Arial"/>
                <w:sz w:val="13"/>
                <w:szCs w:val="13"/>
                <w:b w:val="1"/>
                <w:bCs w:val="1"/>
                <w:color w:val="auto"/>
                <w:w w:val="92"/>
              </w:rPr>
              <w:t>Cycle</w:t>
            </w:r>
          </w:p>
        </w:tc>
      </w:tr>
      <w:tr>
        <w:trPr>
          <w:trHeight w:val="173"/>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PNS Cash Flow Margin Rank</w:t>
            </w:r>
          </w:p>
        </w:tc>
        <w:tc>
          <w:tcPr>
            <w:tcW w:w="2040" w:type="dxa"/>
            <w:vAlign w:val="bottom"/>
            <w:gridSpan w:val="4"/>
          </w:tcPr>
          <w:p>
            <w:pPr>
              <w:jc w:val="center"/>
              <w:ind w:left="404"/>
              <w:spacing w:after="0"/>
              <w:rPr>
                <w:sz w:val="20"/>
                <w:szCs w:val="20"/>
                <w:color w:val="auto"/>
              </w:rPr>
            </w:pPr>
            <w:r>
              <w:rPr>
                <w:rFonts w:ascii="Arial" w:cs="Arial" w:eastAsia="Arial" w:hAnsi="Arial"/>
                <w:sz w:val="13"/>
                <w:szCs w:val="13"/>
                <w:b w:val="1"/>
                <w:bCs w:val="1"/>
                <w:color w:val="auto"/>
                <w:w w:val="94"/>
              </w:rPr>
              <w:t>Unit Value</w:t>
            </w:r>
          </w:p>
        </w:tc>
        <w:tc>
          <w:tcPr>
            <w:tcW w:w="1060" w:type="dxa"/>
            <w:vAlign w:val="bottom"/>
            <w:gridSpan w:val="3"/>
          </w:tcPr>
          <w:p>
            <w:pPr>
              <w:jc w:val="center"/>
              <w:ind w:left="383"/>
              <w:spacing w:after="0"/>
              <w:rPr>
                <w:sz w:val="20"/>
                <w:szCs w:val="20"/>
                <w:color w:val="auto"/>
              </w:rPr>
            </w:pPr>
            <w:r>
              <w:rPr>
                <w:rFonts w:ascii="Arial" w:cs="Arial" w:eastAsia="Arial" w:hAnsi="Arial"/>
                <w:sz w:val="13"/>
                <w:szCs w:val="13"/>
                <w:b w:val="1"/>
                <w:bCs w:val="1"/>
                <w:color w:val="auto"/>
                <w:w w:val="94"/>
              </w:rPr>
              <w:t>Unit Value</w:t>
            </w:r>
          </w:p>
        </w:tc>
      </w:tr>
      <w:tr>
        <w:trPr>
          <w:trHeight w:val="20"/>
        </w:trPr>
        <w:tc>
          <w:tcPr>
            <w:tcW w:w="1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9"/>
        </w:trPr>
        <w:tc>
          <w:tcPr>
            <w:tcW w:w="1680" w:type="dxa"/>
            <w:vAlign w:val="bottom"/>
          </w:tcPr>
          <w:p>
            <w:pPr>
              <w:spacing w:after="0"/>
              <w:rPr>
                <w:sz w:val="20"/>
                <w:szCs w:val="20"/>
                <w:color w:val="auto"/>
              </w:rPr>
            </w:pPr>
            <w:r>
              <w:rPr>
                <w:rFonts w:ascii="Arial" w:cs="Arial" w:eastAsia="Arial" w:hAnsi="Arial"/>
                <w:sz w:val="17"/>
                <w:szCs w:val="17"/>
                <w:color w:val="auto"/>
              </w:rPr>
              <w:t>#1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150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1680" w:type="dxa"/>
            <w:vAlign w:val="bottom"/>
          </w:tcPr>
          <w:p>
            <w:pPr>
              <w:spacing w:after="0"/>
              <w:rPr>
                <w:sz w:val="20"/>
                <w:szCs w:val="20"/>
                <w:color w:val="auto"/>
              </w:rPr>
            </w:pPr>
            <w:r>
              <w:rPr>
                <w:rFonts w:ascii="Arial" w:cs="Arial" w:eastAsia="Arial" w:hAnsi="Arial"/>
                <w:sz w:val="17"/>
                <w:szCs w:val="17"/>
                <w:color w:val="auto"/>
              </w:rPr>
              <w:t>#2</w:t>
            </w:r>
          </w:p>
        </w:tc>
        <w:tc>
          <w:tcPr>
            <w:tcW w:w="960" w:type="dxa"/>
            <w:vAlign w:val="bottom"/>
          </w:tcPr>
          <w:p>
            <w:pPr>
              <w:spacing w:after="0"/>
              <w:rPr>
                <w:sz w:val="21"/>
                <w:szCs w:val="21"/>
                <w:color w:val="auto"/>
              </w:rPr>
            </w:pPr>
          </w:p>
        </w:tc>
        <w:tc>
          <w:tcPr>
            <w:tcW w:w="1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48"/>
        </w:trPr>
        <w:tc>
          <w:tcPr>
            <w:tcW w:w="1680" w:type="dxa"/>
            <w:vAlign w:val="bottom"/>
          </w:tcPr>
          <w:p>
            <w:pPr>
              <w:spacing w:after="0"/>
              <w:rPr>
                <w:sz w:val="20"/>
                <w:szCs w:val="20"/>
                <w:color w:val="auto"/>
              </w:rPr>
            </w:pPr>
            <w:r>
              <w:rPr>
                <w:rFonts w:ascii="Arial" w:cs="Arial" w:eastAsia="Arial" w:hAnsi="Arial"/>
                <w:sz w:val="17"/>
                <w:szCs w:val="17"/>
                <w:color w:val="auto"/>
              </w:rPr>
              <w:t>#3</w:t>
            </w:r>
          </w:p>
        </w:tc>
        <w:tc>
          <w:tcPr>
            <w:tcW w:w="960" w:type="dxa"/>
            <w:vAlign w:val="bottom"/>
          </w:tcPr>
          <w:p>
            <w:pPr>
              <w:spacing w:after="0"/>
              <w:rPr>
                <w:sz w:val="21"/>
                <w:szCs w:val="21"/>
                <w:color w:val="auto"/>
              </w:rPr>
            </w:pPr>
          </w:p>
        </w:tc>
        <w:tc>
          <w:tcPr>
            <w:tcW w:w="1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50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48"/>
        </w:trPr>
        <w:tc>
          <w:tcPr>
            <w:tcW w:w="2640" w:type="dxa"/>
            <w:vAlign w:val="bottom"/>
            <w:gridSpan w:val="2"/>
          </w:tcPr>
          <w:p>
            <w:pPr>
              <w:spacing w:after="0"/>
              <w:rPr>
                <w:sz w:val="20"/>
                <w:szCs w:val="20"/>
                <w:color w:val="auto"/>
              </w:rPr>
            </w:pPr>
            <w:r>
              <w:rPr>
                <w:rFonts w:ascii="Arial" w:cs="Arial" w:eastAsia="Arial" w:hAnsi="Arial"/>
                <w:sz w:val="17"/>
                <w:szCs w:val="17"/>
                <w:color w:val="auto"/>
              </w:rPr>
              <w:t>Below #3</w:t>
            </w:r>
          </w:p>
        </w:tc>
        <w:tc>
          <w:tcPr>
            <w:tcW w:w="12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41"/>
              <w:spacing w:after="0"/>
              <w:rPr>
                <w:sz w:val="20"/>
                <w:szCs w:val="20"/>
                <w:color w:val="auto"/>
              </w:rPr>
            </w:pPr>
            <w:r>
              <w:rPr>
                <w:rFonts w:ascii="Arial" w:cs="Arial" w:eastAsia="Arial" w:hAnsi="Arial"/>
                <w:sz w:val="17"/>
                <w:szCs w:val="17"/>
                <w:color w:val="auto"/>
              </w:rPr>
              <w:t>0</w:t>
            </w: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2009–2012 and 2011–2014 award cycles, the PNS formula provides that the payout value will be increased by $12.50 for each of the four years during the a cycle in which PNS’s actual cash flow margin is not only number one among peer companies, but is also 2% higher than the nearest competitor among the peer comp The formula also provides that the payout value will be reduced by 50% if PNS does not produce operating income in one of the four years during the award cycle. If does not produce operating income for two years in the cycle, there will be no payout under the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the 2009–2012 cycle, PNS’s cash flow ranked second overall for the four-year period, resulting in a payout value of $100 per unit.</w:t>
      </w:r>
    </w:p>
    <w:p>
      <w:pPr>
        <w:spacing w:after="0" w:line="202" w:lineRule="exact"/>
        <w:rPr>
          <w:sz w:val="20"/>
          <w:szCs w:val="20"/>
          <w:color w:val="auto"/>
        </w:rPr>
      </w:pPr>
    </w:p>
    <w:p>
      <w:pPr>
        <w:jc w:val="both"/>
        <w:ind w:firstLine="715"/>
        <w:spacing w:after="0" w:line="249" w:lineRule="auto"/>
        <w:rPr>
          <w:sz w:val="20"/>
          <w:szCs w:val="20"/>
          <w:color w:val="auto"/>
        </w:rPr>
      </w:pPr>
      <w:r>
        <w:rPr>
          <w:rFonts w:ascii="Arial" w:cs="Arial" w:eastAsia="Arial" w:hAnsi="Arial"/>
          <w:sz w:val="17"/>
          <w:szCs w:val="17"/>
          <w:color w:val="auto"/>
        </w:rPr>
        <w:t>Performance units for the 2009–2012 cycle were valued at $133 per unit based on the established performance measures. Because the performance measur compose the valuation formula for performance units are cumulative for the measures applicable to Kaplan, the Post, Cable ONE and PNS, it is not possible to calcul with certainty any interim performance unit values mid-cycle, and no named executive officer is entitled to any payout until the Performance Units vest and the Com approves the valuation at the conclusion of the cycle.</w:t>
      </w:r>
    </w:p>
    <w:p>
      <w:pPr>
        <w:spacing w:after="0" w:line="182" w:lineRule="exact"/>
        <w:rPr>
          <w:sz w:val="20"/>
          <w:szCs w:val="20"/>
          <w:color w:val="auto"/>
        </w:rPr>
      </w:pPr>
    </w:p>
    <w:p>
      <w:pPr>
        <w:ind w:right="20" w:firstLine="715"/>
        <w:spacing w:after="0" w:line="259" w:lineRule="auto"/>
        <w:rPr>
          <w:sz w:val="20"/>
          <w:szCs w:val="20"/>
          <w:color w:val="auto"/>
        </w:rPr>
      </w:pPr>
      <w:r>
        <w:rPr>
          <w:rFonts w:ascii="Arial" w:cs="Arial" w:eastAsia="Arial" w:hAnsi="Arial"/>
          <w:sz w:val="17"/>
          <w:szCs w:val="17"/>
          <w:color w:val="auto"/>
        </w:rPr>
        <w:t>Performance unit payouts for the named executive officers for the 2009–2012 cycle are included in the Summary Compensation Table in the Compensatio Committee Report. Mr. Graham has requested that he receive no payment for his units in the 2009–2012 award</w:t>
      </w:r>
    </w:p>
    <w:p>
      <w:pPr>
        <w:jc w:val="center"/>
        <w:ind w:left="1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6" w:right="1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cycle. Mr. Graham holds 9,750 units in the 2011–2014 cycle, and Mr. Jones, Mr. Rosberg, Ms. McDaniel and Ms. Dillon each holds 6,000 units in the 2011–2014 cyc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2" w:lineRule="exact"/>
        <w:rPr>
          <w:sz w:val="20"/>
          <w:szCs w:val="20"/>
          <w:color w:val="auto"/>
        </w:rPr>
      </w:pPr>
    </w:p>
    <w:p>
      <w:pPr>
        <w:ind w:right="20" w:firstLine="709"/>
        <w:spacing w:after="0" w:line="308" w:lineRule="auto"/>
        <w:rPr>
          <w:sz w:val="20"/>
          <w:szCs w:val="20"/>
          <w:color w:val="auto"/>
        </w:rPr>
      </w:pPr>
      <w:r>
        <w:rPr>
          <w:rFonts w:ascii="Arial" w:cs="Arial" w:eastAsia="Arial" w:hAnsi="Arial"/>
          <w:sz w:val="14"/>
          <w:szCs w:val="14"/>
          <w:color w:val="auto"/>
        </w:rPr>
        <w:t>Although the Company grants stock options sparingly, the Plan provides that shares of Class B Stock can be issued upon the exercise of stock options that been granted to key employees of the Company. The Committee grants options only when a key employee has made a significant contribution to the Company and demonstrates the ability to contribute more. The options generally vest 25% per year over four years and are exercisable for ten years from the grant date. As of the e the Company’s 2012 fiscal year, Mr. Jones held options to acquire 4,000 shares of Class B Stock (3,000 granted in 2008 and 1,000 granted in 2010); Mr. Rosberg hel options to acquire 1,000 shares of Class B Stock, granted in 2008; Ms. McDaniel held options to acquire 3,000 shares of Class B Stock (1,000 granted in 2003, 1,000 granted in 2004 and 1,000 granted in 2008); and Ms. Dillon held options to acquire 1,000 shares of Class B Stock, granted in 2008. Given Mr. Graham’s significant ownership in the Company, the Committee has not granted any stock options to Mr. Graham.</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Perquisites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Company provides few perquisites for the named executive officers. In 2012, Ms. McDaniel received financial and tax advice valued at $19,266. Ms.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received financial planning services and reimbursement for living expenses valued at $82,468.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06"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Most employees in the Company, including named executive officers, are eligible to participate in the Company’s retirement benefit programs. Benefits un these basic plans are determined on the basis of base salary only, exclusive of all bonuses, deferred compensation and other forms of remuneration. The Company als maintains 401(k) savings plans in which most employees are eligible to participate.</w:t>
      </w:r>
    </w:p>
    <w:p>
      <w:pPr>
        <w:spacing w:after="0" w:line="178" w:lineRule="exact"/>
        <w:rPr>
          <w:sz w:val="20"/>
          <w:szCs w:val="20"/>
          <w:color w:val="auto"/>
        </w:rPr>
      </w:pPr>
    </w:p>
    <w:p>
      <w:pPr>
        <w:jc w:val="both"/>
        <w:ind w:firstLine="709"/>
        <w:spacing w:after="0" w:line="305" w:lineRule="auto"/>
        <w:rPr>
          <w:sz w:val="20"/>
          <w:szCs w:val="20"/>
          <w:color w:val="auto"/>
        </w:rPr>
      </w:pPr>
      <w:r>
        <w:rPr>
          <w:rFonts w:ascii="Arial" w:cs="Arial" w:eastAsia="Arial" w:hAnsi="Arial"/>
          <w:sz w:val="14"/>
          <w:szCs w:val="14"/>
          <w:color w:val="auto"/>
        </w:rPr>
        <w:t>Corporate employees hired on or after September 1, 2009, are entitled to participate in the “cash balance” retirement program. Corporate employees hired September 1, 2009, including all named executive officers who are vested and who begin to take their pension benefit at age 65 or whose age and years of service wh added together equal 90, receive an annual pension equal to 1.75% of their highest average 60-month compensation annualized up to the limits permitted by the Inter Revenue Code, minus Social Security covered compensation multiplied by the appropriate Social Security offset percentage, multiplied by the number of years of cre service under The TWPC Retirement Benefits Schedule (which was limited to 30 years until the plan was amended in 2011 to recognize credited service in excess of years). An annual cash pension supplement is also provided to assist in payment of retiree medical coverage equal to $200 multiplied by the number of years of credi service under The TWPC Retirement Benefits Schedule. An additional cash pension supplement of $3,000 per year is provided to participants who retire and comme benefit payment at or after age 55, but prior to age 65, and who had ten years of vesting service at retirement. The pre-age 65 supplement is discontinued when the re qualifies for Medicare (the month prior to the 65th birthday).</w:t>
      </w:r>
    </w:p>
    <w:p>
      <w:pPr>
        <w:spacing w:after="0" w:line="144" w:lineRule="exact"/>
        <w:rPr>
          <w:sz w:val="20"/>
          <w:szCs w:val="20"/>
          <w:color w:val="auto"/>
        </w:rPr>
      </w:pPr>
    </w:p>
    <w:p>
      <w:pPr>
        <w:jc w:val="both"/>
        <w:ind w:firstLine="709"/>
        <w:spacing w:after="0" w:line="292" w:lineRule="auto"/>
        <w:rPr>
          <w:sz w:val="20"/>
          <w:szCs w:val="20"/>
          <w:color w:val="auto"/>
        </w:rPr>
      </w:pPr>
      <w:r>
        <w:rPr>
          <w:rFonts w:ascii="Arial" w:cs="Arial" w:eastAsia="Arial" w:hAnsi="Arial"/>
          <w:sz w:val="16"/>
          <w:szCs w:val="16"/>
          <w:color w:val="auto"/>
        </w:rPr>
        <w:t>On August 1, 2012, the Company reduced the matching contribution for corporate employees participating in the 401(k) plan to a dollar-for-dollar match o of base compensation (up to the annual IRS limit). A participant must complete an eligibility year of service to qualify for matching contributions.</w:t>
      </w:r>
    </w:p>
    <w:p>
      <w:pPr>
        <w:spacing w:after="0" w:line="148" w:lineRule="exact"/>
        <w:rPr>
          <w:sz w:val="20"/>
          <w:szCs w:val="20"/>
          <w:color w:val="auto"/>
        </w:rPr>
      </w:pPr>
    </w:p>
    <w:p>
      <w:pPr>
        <w:jc w:val="both"/>
        <w:ind w:firstLine="709"/>
        <w:spacing w:after="0" w:line="332" w:lineRule="auto"/>
        <w:rPr>
          <w:sz w:val="20"/>
          <w:szCs w:val="20"/>
          <w:color w:val="auto"/>
        </w:rPr>
      </w:pPr>
      <w:r>
        <w:rPr>
          <w:rFonts w:ascii="Arial" w:cs="Arial" w:eastAsia="Arial" w:hAnsi="Arial"/>
          <w:sz w:val="14"/>
          <w:szCs w:val="14"/>
          <w:color w:val="auto"/>
        </w:rPr>
        <w:t>To offset the reduction in the 401(k) matching contribution, the Company introduced a new defined benefit program called the Secure Retirement Account (“SRA”). Similar to the existing Cash Balance Retirement Program, the SRA is fully funded as part of the retirement plan. Account balances grow through quarterly based credits and quarterly interest credits. Eligible employees are automatically enrolled in the program after completing an eligibility year of service.</w:t>
      </w:r>
    </w:p>
    <w:p>
      <w:pPr>
        <w:spacing w:after="0" w:line="126" w:lineRule="exact"/>
        <w:rPr>
          <w:sz w:val="20"/>
          <w:szCs w:val="20"/>
          <w:color w:val="auto"/>
        </w:rPr>
      </w:pPr>
    </w:p>
    <w:p>
      <w:pPr>
        <w:ind w:firstLine="709"/>
        <w:spacing w:after="0" w:line="252" w:lineRule="auto"/>
        <w:rPr>
          <w:sz w:val="20"/>
          <w:szCs w:val="20"/>
          <w:color w:val="auto"/>
        </w:rPr>
      </w:pPr>
      <w:r>
        <w:rPr>
          <w:rFonts w:ascii="Arial" w:cs="Arial" w:eastAsia="Arial" w:hAnsi="Arial"/>
          <w:sz w:val="17"/>
          <w:szCs w:val="17"/>
          <w:color w:val="auto"/>
        </w:rPr>
        <w:t>The Company also maintains an unfunded Supplemental Executive Retirement Plan (“SERP”), which is designed to retain and recruit key executives. Participants in the SERP, including named executive officers, are selected by management as employees whom management most wants to retain because of their sup performance and are approved for participation by the Committee.</w:t>
      </w:r>
    </w:p>
    <w:p>
      <w:pPr>
        <w:spacing w:after="0" w:line="178" w:lineRule="exact"/>
        <w:rPr>
          <w:sz w:val="20"/>
          <w:szCs w:val="20"/>
          <w:color w:val="auto"/>
        </w:rPr>
      </w:pPr>
    </w:p>
    <w:p>
      <w:pPr>
        <w:jc w:val="both"/>
        <w:ind w:firstLine="709"/>
        <w:spacing w:after="0" w:line="265" w:lineRule="auto"/>
        <w:rPr>
          <w:sz w:val="20"/>
          <w:szCs w:val="20"/>
          <w:color w:val="auto"/>
        </w:rPr>
      </w:pPr>
      <w:r>
        <w:rPr>
          <w:rFonts w:ascii="Arial" w:cs="Arial" w:eastAsia="Arial" w:hAnsi="Arial"/>
          <w:sz w:val="16"/>
          <w:szCs w:val="16"/>
          <w:color w:val="auto"/>
        </w:rPr>
        <w:t>To offset IRS limitations placed on the income that can be considered in the formulas of retirement plans and benefits that can be payable from the plans, t SERP provides a “supplemental normal retirement benefit.” This benefit is calculated under the rules of the qualified benefit retirement plan, but without reference to IRS-imposed income and benefit limitations, and includes in the calculation earnings from annual bonuses in the case of certain key executives (including the named executive officers). In any instance in which a retiring executive’s supplemental normal retirement benefit exceeds the benefit payable by the qualified benefit plan or the Company will pay the excess to him or her as a supplemental retirement benefit.</w:t>
      </w:r>
    </w:p>
    <w:p>
      <w:pPr>
        <w:spacing w:after="0" w:line="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7" w:right="139" w:bottom="1440" w:gutter="0" w:footer="0" w:header="0"/>
        </w:sectPr>
      </w:pPr>
    </w:p>
    <w:bookmarkStart w:id="24" w:name="page25"/>
    <w:bookmarkEnd w:id="24"/>
    <w:p>
      <w:pPr>
        <w:jc w:val="both"/>
        <w:ind w:firstLine="709"/>
        <w:spacing w:after="0" w:line="270" w:lineRule="auto"/>
        <w:rPr>
          <w:sz w:val="20"/>
          <w:szCs w:val="20"/>
          <w:color w:val="auto"/>
        </w:rPr>
      </w:pPr>
      <w:r>
        <w:rPr>
          <w:rFonts w:ascii="Arial" w:cs="Arial" w:eastAsia="Arial" w:hAnsi="Arial"/>
          <w:sz w:val="16"/>
          <w:szCs w:val="16"/>
          <w:color w:val="auto"/>
        </w:rPr>
        <w:t>The SERP also provides key executives, including the named executive officers, with tax-deferred accruals of amounts proportionate to the benefits availa non-highly compensated participants in the Company’s 401(k) savings plan, to the extent that benefits exceed those under the Company’s basic plans because of the t limitations ($51,000 in 2013). The executive is required to defer compensation to the SERP savings plan in order to receive the applicable matching company credit e year. Mr. Graham has waived his right to maintain a separate unfunded savings plan account under the SERP.</w:t>
      </w:r>
    </w:p>
    <w:p>
      <w:pPr>
        <w:spacing w:after="0" w:line="165" w:lineRule="exact"/>
        <w:rPr>
          <w:sz w:val="20"/>
          <w:szCs w:val="20"/>
          <w:color w:val="auto"/>
        </w:rPr>
      </w:pPr>
    </w:p>
    <w:p>
      <w:pPr>
        <w:ind w:firstLine="709"/>
        <w:spacing w:after="0" w:line="314" w:lineRule="auto"/>
        <w:rPr>
          <w:sz w:val="20"/>
          <w:szCs w:val="20"/>
          <w:color w:val="auto"/>
        </w:rPr>
      </w:pPr>
      <w:r>
        <w:rPr>
          <w:rFonts w:ascii="Arial" w:cs="Arial" w:eastAsia="Arial" w:hAnsi="Arial"/>
          <w:sz w:val="14"/>
          <w:szCs w:val="14"/>
          <w:color w:val="auto"/>
        </w:rPr>
        <w:t>The Company also has a Deferred Compensation Plan for senior executives (including the named executive officers) comparable to similar plans at peer companies, including those in the same industries with comparable revenues. This plan provides an opportunity for participants to elect to defer the receipt of all or a portion of cash awards under the annual and/or long-term components of the Plan. Elections to defer must be filed in the year prior to the year(s) such awards are ear Deferred amounts earn investment credits in accordance with participant elections from a choice of investment indexes. Deferred amounts will be payable on the first business day of the seventh month following the date of separation from service or such other future date as specified by the participant at the time of election.</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retirement plans are more fully described under “Pension Benefits,” beginning on page 28.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Severance Packages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Consistent with its policy, the Company has not entered into any employment agreements with or guaranteed severance packages to any of the named exec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officers.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Shareholder Advisory Votes on Executive Compensation</w:t>
      </w:r>
    </w:p>
    <w:p>
      <w:pPr>
        <w:spacing w:after="0" w:line="206" w:lineRule="exact"/>
        <w:rPr>
          <w:sz w:val="20"/>
          <w:szCs w:val="20"/>
          <w:color w:val="auto"/>
        </w:rPr>
      </w:pPr>
    </w:p>
    <w:p>
      <w:pPr>
        <w:ind w:firstLine="709"/>
        <w:spacing w:after="0" w:line="265" w:lineRule="auto"/>
        <w:rPr>
          <w:sz w:val="20"/>
          <w:szCs w:val="20"/>
          <w:color w:val="auto"/>
        </w:rPr>
      </w:pPr>
      <w:r>
        <w:rPr>
          <w:rFonts w:ascii="Arial" w:cs="Arial" w:eastAsia="Arial" w:hAnsi="Arial"/>
          <w:sz w:val="16"/>
          <w:szCs w:val="16"/>
          <w:color w:val="auto"/>
        </w:rPr>
        <w:t>At the 2012 Annual Meeting of Shareholders, the Company’s Class A Shareholders unanimously approved the overall 2011 compensation for its named executive officers, including the policies and practices related thereto. The Company believes this vote reflected Class A Shareholder approval of its pay for performa philosophy and the absence of pay practices that shareholders consider problematic. Accordingly, the Compensation Committee generally continued to apply the sam principles in determining the amounts and types of executive compensation for 2012 as outlined in its compensation philosophy and framework. The Compensation Committee values the shareholder feedback provided through the vote and will consider the results of the vote, as well as future votes, in refining the development of compensation program and goal setting in the future.</w:t>
      </w:r>
    </w:p>
    <w:p>
      <w:pPr>
        <w:spacing w:after="0" w:line="16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COMPENSATION COMMITTEE REPORT</w:t>
      </w:r>
    </w:p>
    <w:p>
      <w:pPr>
        <w:spacing w:after="0" w:line="230" w:lineRule="exact"/>
        <w:rPr>
          <w:sz w:val="20"/>
          <w:szCs w:val="20"/>
          <w:color w:val="auto"/>
        </w:rPr>
      </w:pPr>
    </w:p>
    <w:p>
      <w:pPr>
        <w:ind w:right="20" w:firstLine="709"/>
        <w:spacing w:after="0" w:line="368" w:lineRule="auto"/>
        <w:rPr>
          <w:sz w:val="20"/>
          <w:szCs w:val="20"/>
          <w:color w:val="auto"/>
        </w:rPr>
      </w:pPr>
      <w:r>
        <w:rPr>
          <w:rFonts w:ascii="Arial" w:cs="Arial" w:eastAsia="Arial" w:hAnsi="Arial"/>
          <w:sz w:val="14"/>
          <w:szCs w:val="14"/>
          <w:color w:val="auto"/>
        </w:rPr>
        <w:t>The Committee has reviewed and discussed the Compensation Discussion and Analysis required by Item 402(b) of Regulation S-K with management, and on such review and discussions, the Committee recommended to the Board that the Compensation Discussion and Analysis be included in this Proxy Statement.</w:t>
      </w:r>
    </w:p>
    <w:p>
      <w:pPr>
        <w:spacing w:after="0" w:line="12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Anne M. Mulcahy, Chairman</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Lee C. Bollinger</w:t>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Barry Diller</w:t>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Larry D. Thompson</w:t>
      </w:r>
    </w:p>
    <w:p>
      <w:pPr>
        <w:spacing w:after="0" w:line="1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6" w:right="139" w:bottom="1440" w:gutter="0" w:footer="0" w:header="0"/>
        </w:sectPr>
      </w:pPr>
    </w:p>
    <w:bookmarkStart w:id="25" w:name="page26"/>
    <w:bookmarkEnd w:id="25"/>
    <w:p>
      <w:pPr>
        <w:ind w:left="9" w:firstLine="715"/>
        <w:spacing w:after="0" w:line="260" w:lineRule="auto"/>
        <w:rPr>
          <w:sz w:val="20"/>
          <w:szCs w:val="20"/>
          <w:color w:val="auto"/>
        </w:rPr>
      </w:pPr>
      <w:r>
        <w:rPr>
          <w:rFonts w:ascii="Arial" w:cs="Arial" w:eastAsia="Arial" w:hAnsi="Arial"/>
          <w:sz w:val="17"/>
          <w:szCs w:val="17"/>
          <w:color w:val="auto"/>
        </w:rPr>
        <w:t>The following table shows the compensation paid by the Company during the most recent three years to the principal executive officer, the principal financ officer and the three most highly compensated executive officers of the Company.</w:t>
      </w:r>
    </w:p>
    <w:p>
      <w:pPr>
        <w:spacing w:after="0" w:line="168" w:lineRule="exact"/>
        <w:rPr>
          <w:sz w:val="20"/>
          <w:szCs w:val="20"/>
          <w:color w:val="auto"/>
        </w:rPr>
      </w:pPr>
    </w:p>
    <w:p>
      <w:pPr>
        <w:jc w:val="center"/>
        <w:ind w:left="2980"/>
        <w:spacing w:after="0"/>
        <w:rPr>
          <w:sz w:val="20"/>
          <w:szCs w:val="20"/>
          <w:color w:val="auto"/>
        </w:rPr>
      </w:pPr>
      <w:r>
        <w:rPr>
          <w:rFonts w:ascii="Arial" w:cs="Arial" w:eastAsia="Arial" w:hAnsi="Arial"/>
          <w:sz w:val="17"/>
          <w:szCs w:val="17"/>
          <w:b w:val="1"/>
          <w:bCs w:val="1"/>
          <w:color w:val="auto"/>
        </w:rPr>
        <w:t>SUMMARY COMPENSATION</w:t>
      </w:r>
    </w:p>
    <w:p>
      <w:pPr>
        <w:spacing w:after="0" w:line="18" w:lineRule="exact"/>
        <w:rPr>
          <w:sz w:val="20"/>
          <w:szCs w:val="20"/>
          <w:color w:val="auto"/>
        </w:rPr>
      </w:pPr>
    </w:p>
    <w:p>
      <w:pPr>
        <w:jc w:val="center"/>
        <w:ind w:left="2980"/>
        <w:spacing w:after="0"/>
        <w:rPr>
          <w:sz w:val="20"/>
          <w:szCs w:val="20"/>
          <w:color w:val="auto"/>
        </w:rPr>
      </w:pPr>
      <w:r>
        <w:rPr>
          <w:rFonts w:ascii="Arial" w:cs="Arial" w:eastAsia="Arial" w:hAnsi="Arial"/>
          <w:sz w:val="17"/>
          <w:szCs w:val="17"/>
          <w:b w:val="1"/>
          <w:bCs w:val="1"/>
          <w:color w:val="auto"/>
        </w:rPr>
        <w:t>TABLE</w:t>
      </w:r>
    </w:p>
    <w:p>
      <w:pPr>
        <w:spacing w:after="0" w:line="158" w:lineRule="exact"/>
        <w:rPr>
          <w:sz w:val="20"/>
          <w:szCs w:val="20"/>
          <w:color w:val="auto"/>
        </w:rPr>
      </w:pPr>
    </w:p>
    <w:tbl>
      <w:tblPr>
        <w:tblLayout w:type="fixed"/>
        <w:tblInd w:w="139" w:type="dxa"/>
        <w:tblCellMar>
          <w:top w:w="0" w:type="dxa"/>
          <w:left w:w="0" w:type="dxa"/>
          <w:bottom w:w="0" w:type="dxa"/>
          <w:right w:w="0" w:type="dxa"/>
        </w:tblCellMar>
      </w:tblPr>
      <w:tr>
        <w:trPr>
          <w:trHeight w:val="195"/>
        </w:trPr>
        <w:tc>
          <w:tcPr>
            <w:tcW w:w="120" w:type="dxa"/>
            <w:vAlign w:val="bottom"/>
            <w:tcBorders>
              <w:top w:val="single" w:sz="8" w:color="auto"/>
              <w:left w:val="single" w:sz="8" w:color="auto"/>
            </w:tcBorders>
          </w:tcPr>
          <w:p>
            <w:pPr>
              <w:spacing w:after="0"/>
              <w:rPr>
                <w:sz w:val="16"/>
                <w:szCs w:val="16"/>
                <w:color w:val="auto"/>
              </w:rPr>
            </w:pPr>
          </w:p>
        </w:tc>
        <w:tc>
          <w:tcPr>
            <w:tcW w:w="280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Change in</w:t>
            </w:r>
          </w:p>
        </w:tc>
        <w:tc>
          <w:tcPr>
            <w:tcW w:w="10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Non-Equity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Pension Value and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All</w:t>
            </w:r>
          </w:p>
        </w:tc>
        <w:tc>
          <w:tcPr>
            <w:tcW w:w="620" w:type="dxa"/>
            <w:vAlign w:val="bottom"/>
          </w:tcPr>
          <w:p>
            <w:pPr>
              <w:spacing w:after="0"/>
              <w:rPr>
                <w:sz w:val="15"/>
                <w:szCs w:val="15"/>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Incentive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Non-qualified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Other</w:t>
            </w:r>
          </w:p>
        </w:tc>
        <w:tc>
          <w:tcPr>
            <w:tcW w:w="620" w:type="dxa"/>
            <w:vAlign w:val="bottom"/>
          </w:tcPr>
          <w:p>
            <w:pPr>
              <w:spacing w:after="0"/>
              <w:rPr>
                <w:sz w:val="15"/>
                <w:szCs w:val="15"/>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Option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Plan Com-</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Deferred Compen-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Compen-</w:t>
            </w:r>
          </w:p>
        </w:tc>
        <w:tc>
          <w:tcPr>
            <w:tcW w:w="620" w:type="dxa"/>
            <w:vAlign w:val="bottom"/>
          </w:tcPr>
          <w:p>
            <w:pPr>
              <w:spacing w:after="0"/>
              <w:rPr>
                <w:sz w:val="15"/>
                <w:szCs w:val="15"/>
                <w:color w:val="auto"/>
              </w:rPr>
            </w:pPr>
          </w:p>
        </w:tc>
      </w:tr>
      <w:tr>
        <w:trPr>
          <w:trHeight w:val="151"/>
        </w:trPr>
        <w:tc>
          <w:tcPr>
            <w:tcW w:w="120" w:type="dxa"/>
            <w:vAlign w:val="bottom"/>
            <w:tcBorders>
              <w:left w:val="single" w:sz="8" w:color="auto"/>
            </w:tcBorders>
          </w:tcPr>
          <w:p>
            <w:pPr>
              <w:spacing w:after="0"/>
              <w:rPr>
                <w:sz w:val="13"/>
                <w:szCs w:val="13"/>
                <w:color w:val="auto"/>
              </w:rPr>
            </w:pPr>
          </w:p>
        </w:tc>
        <w:tc>
          <w:tcPr>
            <w:tcW w:w="2800" w:type="dxa"/>
            <w:vAlign w:val="bottom"/>
            <w:tcBorders>
              <w:right w:val="single" w:sz="8" w:color="auto"/>
            </w:tcBorders>
          </w:tcPr>
          <w:p>
            <w:pPr>
              <w:ind w:left="560"/>
              <w:spacing w:after="0"/>
              <w:rPr>
                <w:sz w:val="20"/>
                <w:szCs w:val="20"/>
                <w:color w:val="auto"/>
              </w:rPr>
            </w:pPr>
            <w:r>
              <w:rPr>
                <w:rFonts w:ascii="Arial" w:cs="Arial" w:eastAsia="Arial" w:hAnsi="Arial"/>
                <w:sz w:val="12"/>
                <w:szCs w:val="12"/>
                <w:b w:val="1"/>
                <w:bCs w:val="1"/>
                <w:color w:val="auto"/>
              </w:rPr>
              <w:t>Name and Principal Position</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b w:val="1"/>
                <w:bCs w:val="1"/>
                <w:color w:val="auto"/>
              </w:rPr>
              <w:t>Year</w:t>
            </w:r>
          </w:p>
        </w:tc>
        <w:tc>
          <w:tcPr>
            <w:tcW w:w="1260" w:type="dxa"/>
            <w:vAlign w:val="bottom"/>
            <w:tcBorders>
              <w:right w:val="single" w:sz="8" w:color="auto"/>
            </w:tcBorders>
          </w:tcPr>
          <w:p>
            <w:pPr>
              <w:ind w:left="260"/>
              <w:spacing w:after="0"/>
              <w:rPr>
                <w:sz w:val="20"/>
                <w:szCs w:val="20"/>
                <w:color w:val="auto"/>
              </w:rPr>
            </w:pPr>
            <w:r>
              <w:rPr>
                <w:rFonts w:ascii="Arial" w:cs="Arial" w:eastAsia="Arial" w:hAnsi="Arial"/>
                <w:sz w:val="12"/>
                <w:szCs w:val="12"/>
                <w:b w:val="1"/>
                <w:bCs w:val="1"/>
                <w:color w:val="auto"/>
              </w:rPr>
              <w:t>Salary ($)</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Awards ($)</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Awards ($)</w:t>
            </w:r>
          </w:p>
        </w:tc>
        <w:tc>
          <w:tcPr>
            <w:tcW w:w="102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b w:val="1"/>
                <w:bCs w:val="1"/>
                <w:color w:val="auto"/>
                <w:w w:val="85"/>
              </w:rPr>
              <w:t>pensation ($)</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sation Earnings ($)</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sation ($)</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r>
      <w:tr>
        <w:trPr>
          <w:trHeight w:val="212"/>
        </w:trPr>
        <w:tc>
          <w:tcPr>
            <w:tcW w:w="120" w:type="dxa"/>
            <w:vAlign w:val="bottom"/>
            <w:tcBorders>
              <w:lef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2"/>
                <w:szCs w:val="12"/>
                <w:b w:val="1"/>
                <w:bCs w:val="1"/>
                <w:color w:val="auto"/>
              </w:rPr>
              <w:t>(a)</w:t>
            </w:r>
          </w:p>
        </w:tc>
        <w:tc>
          <w:tcPr>
            <w:tcW w:w="920" w:type="dxa"/>
            <w:vAlign w:val="bottom"/>
            <w:tcBorders>
              <w:bottom w:val="single" w:sz="8" w:color="auto"/>
              <w:right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(b)</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b w:val="1"/>
                <w:bCs w:val="1"/>
                <w:color w:val="auto"/>
              </w:rPr>
              <w:t>(c)</w:t>
            </w:r>
          </w:p>
        </w:tc>
        <w:tc>
          <w:tcPr>
            <w:tcW w:w="900" w:type="dxa"/>
            <w:vAlign w:val="bottom"/>
            <w:tcBorders>
              <w:bottom w:val="single" w:sz="8" w:color="auto"/>
              <w:right w:val="single" w:sz="8" w:color="auto"/>
            </w:tcBorders>
          </w:tcPr>
          <w:p>
            <w:pPr>
              <w:ind w:left="320"/>
              <w:spacing w:after="0" w:line="212" w:lineRule="exact"/>
              <w:rPr>
                <w:sz w:val="20"/>
                <w:szCs w:val="20"/>
                <w:color w:val="auto"/>
              </w:rPr>
            </w:pPr>
            <w:r>
              <w:rPr>
                <w:rFonts w:ascii="Arial" w:cs="Arial" w:eastAsia="Arial" w:hAnsi="Arial"/>
                <w:sz w:val="12"/>
                <w:szCs w:val="12"/>
                <w:b w:val="1"/>
                <w:bCs w:val="1"/>
                <w:color w:val="auto"/>
              </w:rPr>
              <w:t>(d)</w:t>
            </w:r>
            <w:r>
              <w:rPr>
                <w:rFonts w:ascii="Arial" w:cs="Arial" w:eastAsia="Arial" w:hAnsi="Arial"/>
                <w:sz w:val="23"/>
                <w:szCs w:val="23"/>
                <w:color w:val="auto"/>
                <w:vertAlign w:val="superscript"/>
              </w:rPr>
              <w:t>1</w:t>
            </w:r>
          </w:p>
        </w:tc>
        <w:tc>
          <w:tcPr>
            <w:tcW w:w="920" w:type="dxa"/>
            <w:vAlign w:val="bottom"/>
            <w:tcBorders>
              <w:bottom w:val="single" w:sz="8" w:color="auto"/>
              <w:right w:val="single" w:sz="8" w:color="auto"/>
            </w:tcBorders>
          </w:tcPr>
          <w:p>
            <w:pPr>
              <w:ind w:left="340"/>
              <w:spacing w:after="0" w:line="212" w:lineRule="exact"/>
              <w:rPr>
                <w:sz w:val="20"/>
                <w:szCs w:val="20"/>
                <w:color w:val="auto"/>
              </w:rPr>
            </w:pPr>
            <w:r>
              <w:rPr>
                <w:rFonts w:ascii="Arial" w:cs="Arial" w:eastAsia="Arial" w:hAnsi="Arial"/>
                <w:sz w:val="12"/>
                <w:szCs w:val="12"/>
                <w:b w:val="1"/>
                <w:bCs w:val="1"/>
                <w:color w:val="auto"/>
              </w:rPr>
              <w:t>(e)</w:t>
            </w:r>
            <w:r>
              <w:rPr>
                <w:rFonts w:ascii="Arial" w:cs="Arial" w:eastAsia="Arial" w:hAnsi="Arial"/>
                <w:sz w:val="23"/>
                <w:szCs w:val="23"/>
                <w:color w:val="auto"/>
                <w:vertAlign w:val="superscript"/>
              </w:rPr>
              <w:t>1</w:t>
            </w:r>
          </w:p>
        </w:tc>
        <w:tc>
          <w:tcPr>
            <w:tcW w:w="1020" w:type="dxa"/>
            <w:vAlign w:val="bottom"/>
            <w:tcBorders>
              <w:bottom w:val="single" w:sz="8" w:color="auto"/>
              <w:right w:val="single" w:sz="8" w:color="auto"/>
            </w:tcBorders>
          </w:tcPr>
          <w:p>
            <w:pPr>
              <w:ind w:left="380"/>
              <w:spacing w:after="0" w:line="212" w:lineRule="exact"/>
              <w:rPr>
                <w:sz w:val="20"/>
                <w:szCs w:val="20"/>
                <w:color w:val="auto"/>
              </w:rPr>
            </w:pPr>
            <w:r>
              <w:rPr>
                <w:rFonts w:ascii="Arial" w:cs="Arial" w:eastAsia="Arial" w:hAnsi="Arial"/>
                <w:sz w:val="12"/>
                <w:szCs w:val="12"/>
                <w:b w:val="1"/>
                <w:bCs w:val="1"/>
                <w:color w:val="auto"/>
              </w:rPr>
              <w:t>(f)</w:t>
            </w:r>
            <w:r>
              <w:rPr>
                <w:rFonts w:ascii="Arial" w:cs="Arial" w:eastAsia="Arial" w:hAnsi="Arial"/>
                <w:sz w:val="23"/>
                <w:szCs w:val="23"/>
                <w:color w:val="auto"/>
                <w:vertAlign w:val="superscript"/>
              </w:rPr>
              <w:t>2</w:t>
            </w:r>
          </w:p>
        </w:tc>
        <w:tc>
          <w:tcPr>
            <w:tcW w:w="1240" w:type="dxa"/>
            <w:vAlign w:val="bottom"/>
            <w:tcBorders>
              <w:bottom w:val="single" w:sz="8" w:color="auto"/>
              <w:right w:val="single" w:sz="8" w:color="auto"/>
            </w:tcBorders>
          </w:tcPr>
          <w:p>
            <w:pPr>
              <w:ind w:left="480"/>
              <w:spacing w:after="0" w:line="212" w:lineRule="exact"/>
              <w:rPr>
                <w:sz w:val="20"/>
                <w:szCs w:val="20"/>
                <w:color w:val="auto"/>
              </w:rPr>
            </w:pPr>
            <w:r>
              <w:rPr>
                <w:rFonts w:ascii="Arial" w:cs="Arial" w:eastAsia="Arial" w:hAnsi="Arial"/>
                <w:sz w:val="12"/>
                <w:szCs w:val="12"/>
                <w:b w:val="1"/>
                <w:bCs w:val="1"/>
                <w:color w:val="auto"/>
              </w:rPr>
              <w:t>(g)</w:t>
            </w:r>
            <w:r>
              <w:rPr>
                <w:rFonts w:ascii="Arial" w:cs="Arial" w:eastAsia="Arial" w:hAnsi="Arial"/>
                <w:sz w:val="23"/>
                <w:szCs w:val="23"/>
                <w:color w:val="auto"/>
                <w:vertAlign w:val="superscript"/>
              </w:rPr>
              <w:t>3</w:t>
            </w:r>
          </w:p>
        </w:tc>
        <w:tc>
          <w:tcPr>
            <w:tcW w:w="1020" w:type="dxa"/>
            <w:vAlign w:val="bottom"/>
            <w:tcBorders>
              <w:bottom w:val="single" w:sz="8" w:color="auto"/>
              <w:right w:val="single" w:sz="8" w:color="auto"/>
            </w:tcBorders>
          </w:tcPr>
          <w:p>
            <w:pPr>
              <w:ind w:left="380"/>
              <w:spacing w:after="0" w:line="212" w:lineRule="exact"/>
              <w:rPr>
                <w:sz w:val="20"/>
                <w:szCs w:val="20"/>
                <w:color w:val="auto"/>
              </w:rPr>
            </w:pPr>
            <w:r>
              <w:rPr>
                <w:rFonts w:ascii="Arial" w:cs="Arial" w:eastAsia="Arial" w:hAnsi="Arial"/>
                <w:sz w:val="12"/>
                <w:szCs w:val="12"/>
                <w:b w:val="1"/>
                <w:bCs w:val="1"/>
                <w:color w:val="auto"/>
              </w:rPr>
              <w:t>(h)</w:t>
            </w:r>
            <w:r>
              <w:rPr>
                <w:rFonts w:ascii="Arial" w:cs="Arial" w:eastAsia="Arial" w:hAnsi="Arial"/>
                <w:sz w:val="23"/>
                <w:szCs w:val="23"/>
                <w:color w:val="auto"/>
                <w:vertAlign w:val="superscript"/>
              </w:rPr>
              <w:t>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w:t>
            </w:r>
          </w:p>
        </w:tc>
      </w:tr>
      <w:tr>
        <w:trPr>
          <w:trHeight w:val="175"/>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Donald E. Graham</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400,000</w:t>
            </w:r>
          </w:p>
        </w:tc>
        <w:tc>
          <w:tcPr>
            <w:tcW w:w="90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464,724</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13,000</w:t>
            </w:r>
          </w:p>
        </w:tc>
        <w:tc>
          <w:tcPr>
            <w:tcW w:w="620" w:type="dxa"/>
            <w:vAlign w:val="bottom"/>
          </w:tcPr>
          <w:p>
            <w:pPr>
              <w:jc w:val="right"/>
              <w:spacing w:after="0"/>
              <w:rPr>
                <w:sz w:val="20"/>
                <w:szCs w:val="20"/>
                <w:color w:val="auto"/>
              </w:rPr>
            </w:pPr>
            <w:r>
              <w:rPr>
                <w:rFonts w:ascii="Arial" w:cs="Arial" w:eastAsia="Arial" w:hAnsi="Arial"/>
                <w:sz w:val="12"/>
                <w:szCs w:val="12"/>
                <w:color w:val="auto"/>
              </w:rPr>
              <w:t>877</w:t>
            </w: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Chairman of the Board and</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400,000</w:t>
            </w:r>
          </w:p>
        </w:tc>
        <w:tc>
          <w:tcPr>
            <w:tcW w:w="90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619,163</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12,740</w:t>
            </w:r>
          </w:p>
        </w:tc>
        <w:tc>
          <w:tcPr>
            <w:tcW w:w="62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165"/>
        </w:trPr>
        <w:tc>
          <w:tcPr>
            <w:tcW w:w="120" w:type="dxa"/>
            <w:vAlign w:val="bottom"/>
            <w:tcBorders>
              <w:lef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Chief Executive Officer</w:t>
            </w:r>
          </w:p>
        </w:tc>
        <w:tc>
          <w:tcPr>
            <w:tcW w:w="9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12"/>
                <w:szCs w:val="12"/>
                <w:color w:val="auto"/>
              </w:rPr>
              <w:t>2010</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color w:val="auto"/>
              </w:rPr>
              <w:t>400,000</w:t>
            </w:r>
          </w:p>
        </w:tc>
        <w:tc>
          <w:tcPr>
            <w:tcW w:w="90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bottom w:val="single" w:sz="8" w:color="auto"/>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124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16,330</w:t>
            </w:r>
          </w:p>
        </w:tc>
        <w:tc>
          <w:tcPr>
            <w:tcW w:w="10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12,740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w:t>
            </w:r>
          </w:p>
        </w:tc>
      </w:tr>
      <w:tr>
        <w:trPr>
          <w:trHeight w:val="175"/>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Hal S. Jones</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700,000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297,704</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1,307,848</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6"/>
              </w:rPr>
              <w:t>1,239,250</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67,760</w:t>
            </w:r>
          </w:p>
        </w:tc>
        <w:tc>
          <w:tcPr>
            <w:tcW w:w="620" w:type="dxa"/>
            <w:vAlign w:val="bottom"/>
          </w:tcPr>
          <w:p>
            <w:pPr>
              <w:jc w:val="right"/>
              <w:spacing w:after="0"/>
              <w:rPr>
                <w:sz w:val="20"/>
                <w:szCs w:val="20"/>
                <w:color w:val="auto"/>
              </w:rPr>
            </w:pPr>
            <w:r>
              <w:rPr>
                <w:rFonts w:ascii="Arial" w:cs="Arial" w:eastAsia="Arial" w:hAnsi="Arial"/>
                <w:sz w:val="12"/>
                <w:szCs w:val="12"/>
                <w:color w:val="auto"/>
              </w:rPr>
              <w:t>3,61</w:t>
            </w: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Senior Vice President–Finance</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675,000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352,680</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179,700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967,167</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46,380</w:t>
            </w:r>
          </w:p>
        </w:tc>
        <w:tc>
          <w:tcPr>
            <w:tcW w:w="620" w:type="dxa"/>
            <w:vAlign w:val="bottom"/>
          </w:tcPr>
          <w:p>
            <w:pPr>
              <w:jc w:val="right"/>
              <w:spacing w:after="0"/>
              <w:rPr>
                <w:sz w:val="20"/>
                <w:szCs w:val="20"/>
                <w:color w:val="auto"/>
              </w:rPr>
            </w:pPr>
            <w:r>
              <w:rPr>
                <w:rFonts w:ascii="Arial" w:cs="Arial" w:eastAsia="Arial" w:hAnsi="Arial"/>
                <w:sz w:val="12"/>
                <w:szCs w:val="12"/>
                <w:color w:val="auto"/>
              </w:rPr>
              <w:t>2,22</w:t>
            </w:r>
          </w:p>
        </w:tc>
      </w:tr>
      <w:tr>
        <w:trPr>
          <w:trHeight w:val="165"/>
        </w:trPr>
        <w:tc>
          <w:tcPr>
            <w:tcW w:w="120" w:type="dxa"/>
            <w:vAlign w:val="bottom"/>
            <w:tcBorders>
              <w:lef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and Chief Financial Officer</w:t>
            </w:r>
          </w:p>
        </w:tc>
        <w:tc>
          <w:tcPr>
            <w:tcW w:w="9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12"/>
                <w:szCs w:val="12"/>
                <w:color w:val="auto"/>
              </w:rPr>
              <w:t>2010</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color w:val="auto"/>
              </w:rPr>
              <w:t>635,000</w:t>
            </w:r>
          </w:p>
        </w:tc>
        <w:tc>
          <w:tcPr>
            <w:tcW w:w="90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106,700</w:t>
            </w:r>
          </w:p>
        </w:tc>
        <w:tc>
          <w:tcPr>
            <w:tcW w:w="10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918,600</w:t>
            </w:r>
          </w:p>
        </w:tc>
        <w:tc>
          <w:tcPr>
            <w:tcW w:w="124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498,468</w:t>
            </w:r>
          </w:p>
        </w:tc>
        <w:tc>
          <w:tcPr>
            <w:tcW w:w="10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37,970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r>
      <w:tr>
        <w:trPr>
          <w:trHeight w:val="175"/>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Gerald M. Rosberg</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592,250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297,704</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1,009,700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294,356</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64,607</w:t>
            </w:r>
          </w:p>
        </w:tc>
        <w:tc>
          <w:tcPr>
            <w:tcW w:w="620" w:type="dxa"/>
            <w:vAlign w:val="bottom"/>
          </w:tcPr>
          <w:p>
            <w:pPr>
              <w:jc w:val="right"/>
              <w:spacing w:after="0"/>
              <w:rPr>
                <w:sz w:val="20"/>
                <w:szCs w:val="20"/>
                <w:color w:val="auto"/>
              </w:rPr>
            </w:pPr>
            <w:r>
              <w:rPr>
                <w:rFonts w:ascii="Arial" w:cs="Arial" w:eastAsia="Arial" w:hAnsi="Arial"/>
                <w:sz w:val="12"/>
                <w:szCs w:val="12"/>
                <w:color w:val="auto"/>
              </w:rPr>
              <w:t>2,25</w:t>
            </w: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Senior Vice President–</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575,000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352,680</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122,500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780,214</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50,580</w:t>
            </w:r>
          </w:p>
        </w:tc>
        <w:tc>
          <w:tcPr>
            <w:tcW w:w="620" w:type="dxa"/>
            <w:vAlign w:val="bottom"/>
          </w:tcPr>
          <w:p>
            <w:pPr>
              <w:jc w:val="right"/>
              <w:spacing w:after="0"/>
              <w:rPr>
                <w:sz w:val="20"/>
                <w:szCs w:val="20"/>
                <w:color w:val="auto"/>
              </w:rPr>
            </w:pPr>
            <w:r>
              <w:rPr>
                <w:rFonts w:ascii="Arial" w:cs="Arial" w:eastAsia="Arial" w:hAnsi="Arial"/>
                <w:sz w:val="12"/>
                <w:szCs w:val="12"/>
                <w:color w:val="auto"/>
              </w:rPr>
              <w:t>1,88</w:t>
            </w:r>
          </w:p>
        </w:tc>
      </w:tr>
      <w:tr>
        <w:trPr>
          <w:trHeight w:val="165"/>
        </w:trPr>
        <w:tc>
          <w:tcPr>
            <w:tcW w:w="120" w:type="dxa"/>
            <w:vAlign w:val="bottom"/>
            <w:tcBorders>
              <w:lef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Planning and Development</w:t>
            </w:r>
          </w:p>
        </w:tc>
        <w:tc>
          <w:tcPr>
            <w:tcW w:w="9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12"/>
                <w:szCs w:val="12"/>
                <w:color w:val="auto"/>
              </w:rPr>
              <w:t>2010</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color w:val="auto"/>
              </w:rPr>
              <w:t>545,000</w:t>
            </w:r>
          </w:p>
        </w:tc>
        <w:tc>
          <w:tcPr>
            <w:tcW w:w="90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bottom w:val="single" w:sz="8" w:color="auto"/>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1,181,300</w:t>
            </w:r>
          </w:p>
        </w:tc>
        <w:tc>
          <w:tcPr>
            <w:tcW w:w="124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588,911</w:t>
            </w:r>
          </w:p>
        </w:tc>
        <w:tc>
          <w:tcPr>
            <w:tcW w:w="10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42,740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r>
      <w:tr>
        <w:trPr>
          <w:trHeight w:val="175"/>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Ann L. McDaniel</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592,250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297,704</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1,068,925</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6"/>
              </w:rPr>
              <w:t>1,186,376</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81,423</w:t>
            </w:r>
          </w:p>
        </w:tc>
        <w:tc>
          <w:tcPr>
            <w:tcW w:w="620" w:type="dxa"/>
            <w:vAlign w:val="bottom"/>
          </w:tcPr>
          <w:p>
            <w:pPr>
              <w:jc w:val="right"/>
              <w:spacing w:after="0"/>
              <w:rPr>
                <w:sz w:val="20"/>
                <w:szCs w:val="20"/>
                <w:color w:val="auto"/>
              </w:rPr>
            </w:pPr>
            <w:r>
              <w:rPr>
                <w:rFonts w:ascii="Arial" w:cs="Arial" w:eastAsia="Arial" w:hAnsi="Arial"/>
                <w:sz w:val="12"/>
                <w:szCs w:val="12"/>
                <w:color w:val="auto"/>
              </w:rPr>
              <w:t>3,22</w:t>
            </w: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Senior Vice President</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575,000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352,680</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122,500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6"/>
              </w:rPr>
              <w:t>1,491,123</w:t>
            </w:r>
          </w:p>
        </w:tc>
        <w:tc>
          <w:tcPr>
            <w:tcW w:w="102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68,164</w:t>
            </w:r>
          </w:p>
        </w:tc>
        <w:tc>
          <w:tcPr>
            <w:tcW w:w="620" w:type="dxa"/>
            <w:vAlign w:val="bottom"/>
          </w:tcPr>
          <w:p>
            <w:pPr>
              <w:jc w:val="right"/>
              <w:spacing w:after="0"/>
              <w:rPr>
                <w:sz w:val="20"/>
                <w:szCs w:val="20"/>
                <w:color w:val="auto"/>
              </w:rPr>
            </w:pPr>
            <w:r>
              <w:rPr>
                <w:rFonts w:ascii="Arial" w:cs="Arial" w:eastAsia="Arial" w:hAnsi="Arial"/>
                <w:sz w:val="12"/>
                <w:szCs w:val="12"/>
                <w:color w:val="auto"/>
              </w:rPr>
              <w:t>2,60</w:t>
            </w:r>
          </w:p>
        </w:tc>
      </w:tr>
      <w:tr>
        <w:trPr>
          <w:trHeight w:val="165"/>
        </w:trPr>
        <w:tc>
          <w:tcPr>
            <w:tcW w:w="120" w:type="dxa"/>
            <w:vAlign w:val="bottom"/>
            <w:tcBorders>
              <w:lef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12"/>
                <w:szCs w:val="12"/>
                <w:color w:val="auto"/>
              </w:rPr>
              <w:t>2010</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color w:val="auto"/>
              </w:rPr>
              <w:t>530,000</w:t>
            </w:r>
          </w:p>
        </w:tc>
        <w:tc>
          <w:tcPr>
            <w:tcW w:w="90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bottom w:val="single" w:sz="8" w:color="auto"/>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1,557,300</w:t>
            </w:r>
          </w:p>
        </w:tc>
        <w:tc>
          <w:tcPr>
            <w:tcW w:w="124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431,879</w:t>
            </w:r>
          </w:p>
        </w:tc>
        <w:tc>
          <w:tcPr>
            <w:tcW w:w="102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76,629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w:t>
            </w:r>
          </w:p>
        </w:tc>
      </w:tr>
      <w:tr>
        <w:trPr>
          <w:trHeight w:val="175"/>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Veronica Dillon</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2012</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592,250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297,704</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6"/>
              </w:rPr>
              <w:t>1,009,700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6"/>
              </w:rPr>
              <w:t>1,019,736</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144,625</w:t>
            </w:r>
          </w:p>
        </w:tc>
        <w:tc>
          <w:tcPr>
            <w:tcW w:w="620" w:type="dxa"/>
            <w:vAlign w:val="bottom"/>
          </w:tcPr>
          <w:p>
            <w:pPr>
              <w:jc w:val="right"/>
              <w:spacing w:after="0"/>
              <w:rPr>
                <w:sz w:val="20"/>
                <w:szCs w:val="20"/>
                <w:color w:val="auto"/>
              </w:rPr>
            </w:pPr>
            <w:r>
              <w:rPr>
                <w:rFonts w:ascii="Arial" w:cs="Arial" w:eastAsia="Arial" w:hAnsi="Arial"/>
                <w:sz w:val="12"/>
                <w:szCs w:val="12"/>
                <w:color w:val="auto"/>
              </w:rPr>
              <w:t>3,06</w:t>
            </w:r>
          </w:p>
        </w:tc>
      </w:tr>
      <w:tr>
        <w:trPr>
          <w:trHeight w:val="174"/>
        </w:trPr>
        <w:tc>
          <w:tcPr>
            <w:tcW w:w="1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Senior Vice President,</w:t>
            </w:r>
          </w:p>
        </w:tc>
        <w:tc>
          <w:tcPr>
            <w:tcW w:w="920" w:type="dxa"/>
            <w:vAlign w:val="bottom"/>
            <w:tcBorders>
              <w:right w:val="single" w:sz="8" w:color="auto"/>
            </w:tcBorders>
          </w:tcPr>
          <w:p>
            <w:pPr>
              <w:jc w:val="right"/>
              <w:ind w:right="422"/>
              <w:spacing w:after="0"/>
              <w:rPr>
                <w:sz w:val="20"/>
                <w:szCs w:val="20"/>
                <w:color w:val="auto"/>
              </w:rPr>
            </w:pPr>
            <w:r>
              <w:rPr>
                <w:rFonts w:ascii="Arial" w:cs="Arial" w:eastAsia="Arial" w:hAnsi="Arial"/>
                <w:sz w:val="12"/>
                <w:szCs w:val="12"/>
                <w:color w:val="auto"/>
              </w:rPr>
              <w:t>2011</w:t>
            </w:r>
          </w:p>
        </w:tc>
        <w:tc>
          <w:tcPr>
            <w:tcW w:w="1260" w:type="dxa"/>
            <w:vAlign w:val="bottom"/>
            <w:tcBorders>
              <w:right w:val="single" w:sz="8" w:color="auto"/>
            </w:tcBorders>
          </w:tcPr>
          <w:p>
            <w:pPr>
              <w:ind w:left="440"/>
              <w:spacing w:after="0"/>
              <w:rPr>
                <w:sz w:val="20"/>
                <w:szCs w:val="20"/>
                <w:color w:val="auto"/>
              </w:rPr>
            </w:pPr>
            <w:r>
              <w:rPr>
                <w:rFonts w:ascii="Arial" w:cs="Arial" w:eastAsia="Arial" w:hAnsi="Arial"/>
                <w:sz w:val="12"/>
                <w:szCs w:val="12"/>
                <w:color w:val="auto"/>
              </w:rPr>
              <w:t>575,000</w:t>
            </w:r>
          </w:p>
        </w:tc>
        <w:tc>
          <w:tcPr>
            <w:tcW w:w="90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87"/>
              </w:rPr>
              <w:t>352,680</w:t>
            </w:r>
          </w:p>
        </w:tc>
        <w:tc>
          <w:tcPr>
            <w:tcW w:w="920" w:type="dxa"/>
            <w:vAlign w:val="bottom"/>
            <w:tcBorders>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122,500</w:t>
            </w:r>
          </w:p>
        </w:tc>
        <w:tc>
          <w:tcPr>
            <w:tcW w:w="1240" w:type="dxa"/>
            <w:vAlign w:val="bottom"/>
            <w:tcBorders>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646,458</w:t>
            </w:r>
          </w:p>
        </w:tc>
        <w:tc>
          <w:tcPr>
            <w:tcW w:w="1020" w:type="dxa"/>
            <w:vAlign w:val="bottom"/>
            <w:tcBorders>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127,854</w:t>
            </w:r>
          </w:p>
        </w:tc>
        <w:tc>
          <w:tcPr>
            <w:tcW w:w="62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65"/>
        </w:trPr>
        <w:tc>
          <w:tcPr>
            <w:tcW w:w="120" w:type="dxa"/>
            <w:vAlign w:val="bottom"/>
            <w:tcBorders>
              <w:left w:val="single" w:sz="8" w:color="auto"/>
              <w:bottom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2"/>
                <w:szCs w:val="12"/>
                <w:color w:val="auto"/>
              </w:rPr>
              <w:t>Secretary and General Counsel</w:t>
            </w:r>
          </w:p>
        </w:tc>
        <w:tc>
          <w:tcPr>
            <w:tcW w:w="9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12"/>
                <w:szCs w:val="12"/>
                <w:color w:val="auto"/>
              </w:rPr>
              <w:t>2010</w:t>
            </w:r>
          </w:p>
        </w:tc>
        <w:tc>
          <w:tcPr>
            <w:tcW w:w="12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2"/>
                <w:szCs w:val="12"/>
                <w:color w:val="auto"/>
              </w:rPr>
              <w:t>545,000</w:t>
            </w:r>
          </w:p>
        </w:tc>
        <w:tc>
          <w:tcPr>
            <w:tcW w:w="90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8"/>
              </w:rPr>
              <w:t>-</w:t>
            </w:r>
          </w:p>
        </w:tc>
        <w:tc>
          <w:tcPr>
            <w:tcW w:w="920" w:type="dxa"/>
            <w:vAlign w:val="bottom"/>
            <w:tcBorders>
              <w:bottom w:val="single" w:sz="8" w:color="auto"/>
              <w:right w:val="single" w:sz="8" w:color="auto"/>
            </w:tcBorders>
          </w:tcPr>
          <w:p>
            <w:pPr>
              <w:jc w:val="center"/>
              <w:ind w:left="142"/>
              <w:spacing w:after="0"/>
              <w:rPr>
                <w:sz w:val="20"/>
                <w:szCs w:val="20"/>
                <w:color w:val="auto"/>
              </w:rPr>
            </w:pPr>
            <w:r>
              <w:rPr>
                <w:rFonts w:ascii="Arial" w:cs="Arial" w:eastAsia="Arial" w:hAnsi="Arial"/>
                <w:sz w:val="12"/>
                <w:szCs w:val="12"/>
                <w:color w:val="auto"/>
                <w:w w:val="98"/>
              </w:rPr>
              <w:t>-</w:t>
            </w:r>
          </w:p>
        </w:tc>
        <w:tc>
          <w:tcPr>
            <w:tcW w:w="10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939,500</w:t>
            </w:r>
          </w:p>
        </w:tc>
        <w:tc>
          <w:tcPr>
            <w:tcW w:w="124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87"/>
              </w:rPr>
              <w:t>338,429</w:t>
            </w:r>
          </w:p>
        </w:tc>
        <w:tc>
          <w:tcPr>
            <w:tcW w:w="102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2"/>
                <w:szCs w:val="12"/>
                <w:color w:val="auto"/>
                <w:w w:val="87"/>
              </w:rPr>
              <w:t>116,372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w:t>
            </w:r>
          </w:p>
        </w:tc>
      </w:tr>
    </w:tbl>
    <w:p>
      <w:pPr>
        <w:spacing w:after="0" w:line="363" w:lineRule="exact"/>
        <w:rPr>
          <w:sz w:val="20"/>
          <w:szCs w:val="20"/>
          <w:color w:val="auto"/>
        </w:rPr>
      </w:pPr>
    </w:p>
    <w:p>
      <w:pPr>
        <w:jc w:val="both"/>
        <w:ind w:left="289" w:hanging="289"/>
        <w:spacing w:after="0" w:line="253" w:lineRule="auto"/>
        <w:tabs>
          <w:tab w:leader="none" w:pos="2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value of the stock awards and the option awards is disclosed based on the grant date fair value computed in accordance with FASB ASC TOPIC 718. They represent the fair value amounts associated with grants through the close of the 2012 fiscal year, rather than amounts paid to or realized by the named executive officers. There can be no assurance that the amounts calculated will be realized, and amounts realized could u exceed the amounts calculated.</w:t>
      </w:r>
    </w:p>
    <w:p>
      <w:pPr>
        <w:spacing w:after="0" w:line="109" w:lineRule="exact"/>
        <w:rPr>
          <w:rFonts w:ascii="Arial" w:cs="Arial" w:eastAsia="Arial" w:hAnsi="Arial"/>
          <w:sz w:val="12"/>
          <w:szCs w:val="12"/>
          <w:color w:val="auto"/>
        </w:rPr>
      </w:pPr>
    </w:p>
    <w:p>
      <w:pPr>
        <w:ind w:left="309" w:hanging="309"/>
        <w:spacing w:after="0" w:line="268" w:lineRule="auto"/>
        <w:tabs>
          <w:tab w:leader="none" w:pos="306" w:val="left"/>
        </w:tabs>
        <w:numPr>
          <w:ilvl w:val="0"/>
          <w:numId w:val="27"/>
        </w:numPr>
        <w:rPr>
          <w:rFonts w:ascii="Arial" w:cs="Arial" w:eastAsia="Arial" w:hAnsi="Arial"/>
          <w:sz w:val="11"/>
          <w:szCs w:val="11"/>
          <w:color w:val="auto"/>
        </w:rPr>
      </w:pPr>
      <w:r>
        <w:rPr>
          <w:rFonts w:ascii="Arial" w:cs="Arial" w:eastAsia="Arial" w:hAnsi="Arial"/>
          <w:sz w:val="11"/>
          <w:szCs w:val="11"/>
          <w:color w:val="auto"/>
        </w:rPr>
        <w:t>Amounts in this column for 2012 represent payments under the 2012 annual bonus plan, the 2009–2012 Performance Unit Plan, and other plans as follows: Mr. Graham requested that the compensation committee n consider for payment his performance unit award valued at $1,296,750; Mr. Jones – $411,100 in annual bonus, $731,500 in performance units and an award that was granted in 2007 with a five-year cliff vest and w valued based on the estimated fair value of Kaplan stock as of 12/31/2011; Mr. Rosberg – $278,200 in annual bonus and $731,500 in performance units; Ms. McDaniel – $337,425 in annual bonus and $731,500 in performance units; Ms. Dillon – $278,200 in annual bonus and $731,500 in performance units. Amounts in this column for 2011 represent payments under the annual bonus plan. Amounts in this column for 2010 re payments under the 2010 annual bonus plan and the 2007–2010 Performance Unit Plan as follows: Mr. Graham requested that the compensation committee not consider for payment his performance unit award valu $1,209,000; Mr. Jones – $546,600 in annual bonus and $372,000 in performance units; Mr. Rosberg – $375,300 in annual bonus and $806,000 in performance units; Ms. McDaniel – $912,500 in annual bonus and $ in performance units; Ms. Dillon – $375,300 in annual bonus and $564,200 in performance units.</w:t>
      </w:r>
    </w:p>
    <w:p>
      <w:pPr>
        <w:spacing w:after="0" w:line="103" w:lineRule="exact"/>
        <w:rPr>
          <w:rFonts w:ascii="Arial" w:cs="Arial" w:eastAsia="Arial" w:hAnsi="Arial"/>
          <w:sz w:val="11"/>
          <w:szCs w:val="11"/>
          <w:color w:val="auto"/>
        </w:rPr>
      </w:pPr>
    </w:p>
    <w:p>
      <w:pPr>
        <w:ind w:left="309" w:hanging="309"/>
        <w:spacing w:after="0"/>
        <w:tabs>
          <w:tab w:leader="none" w:pos="309"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There were no above-market or preferential earnings on compensation that are deferred on a basis that is not tax-qualified. Thus, no such earnings are reflected in the amounts shown in this column.</w:t>
      </w:r>
    </w:p>
    <w:p>
      <w:pPr>
        <w:spacing w:after="0" w:line="135" w:lineRule="exact"/>
        <w:rPr>
          <w:rFonts w:ascii="Arial" w:cs="Arial" w:eastAsia="Arial" w:hAnsi="Arial"/>
          <w:sz w:val="12"/>
          <w:szCs w:val="12"/>
          <w:color w:val="auto"/>
        </w:rPr>
      </w:pPr>
    </w:p>
    <w:p>
      <w:pPr>
        <w:ind w:left="289"/>
        <w:spacing w:after="0"/>
        <w:rPr>
          <w:rFonts w:ascii="Arial" w:cs="Arial" w:eastAsia="Arial" w:hAnsi="Arial"/>
          <w:sz w:val="12"/>
          <w:szCs w:val="12"/>
          <w:color w:val="auto"/>
        </w:rPr>
      </w:pPr>
      <w:r>
        <w:rPr>
          <w:rFonts w:ascii="Arial" w:cs="Arial" w:eastAsia="Arial" w:hAnsi="Arial"/>
          <w:sz w:val="11"/>
          <w:szCs w:val="11"/>
          <w:color w:val="auto"/>
        </w:rPr>
        <w:t>Benefits were assumed to commence at the age when they are first unreduced, and were discounted to the date as of which they were determined (either 12/31/2012 or 12/31/2011). Assumed benefit commencement</w:t>
      </w:r>
    </w:p>
    <w:p>
      <w:pPr>
        <w:spacing w:after="0" w:line="19" w:lineRule="exact"/>
        <w:rPr>
          <w:sz w:val="20"/>
          <w:szCs w:val="20"/>
          <w:color w:val="auto"/>
        </w:rPr>
      </w:pPr>
    </w:p>
    <w:p>
      <w:pPr>
        <w:ind w:left="309"/>
        <w:spacing w:after="0"/>
        <w:rPr>
          <w:sz w:val="20"/>
          <w:szCs w:val="20"/>
          <w:color w:val="auto"/>
        </w:rPr>
      </w:pPr>
      <w:r>
        <w:rPr>
          <w:rFonts w:ascii="Arial" w:cs="Arial" w:eastAsia="Arial" w:hAnsi="Arial"/>
          <w:sz w:val="12"/>
          <w:szCs w:val="12"/>
          <w:color w:val="auto"/>
        </w:rPr>
        <w:t>shown below, rounded to the nearest age:</w:t>
      </w:r>
    </w:p>
    <w:p>
      <w:pPr>
        <w:ind w:left="589"/>
        <w:spacing w:after="0" w:line="237" w:lineRule="auto"/>
        <w:tabs>
          <w:tab w:leader="none" w:pos="1169" w:val="left"/>
        </w:tabs>
        <w:rPr>
          <w:sz w:val="20"/>
          <w:szCs w:val="20"/>
          <w:color w:val="auto"/>
        </w:rPr>
      </w:pPr>
      <w:r>
        <w:rPr>
          <w:rFonts w:ascii="Arial" w:cs="Arial" w:eastAsia="Arial" w:hAnsi="Arial"/>
          <w:sz w:val="12"/>
          <w:szCs w:val="12"/>
          <w:color w:val="auto"/>
        </w:rPr>
        <w:t>Graham:</w:t>
        <w:tab/>
        <w:t>age 68 (12/31/2012); age 67 (12/31/2011)</w:t>
      </w:r>
    </w:p>
    <w:p>
      <w:pPr>
        <w:ind w:left="589"/>
        <w:spacing w:after="0" w:line="237" w:lineRule="auto"/>
        <w:tabs>
          <w:tab w:leader="none" w:pos="1129" w:val="left"/>
        </w:tabs>
        <w:rPr>
          <w:sz w:val="20"/>
          <w:szCs w:val="20"/>
          <w:color w:val="auto"/>
        </w:rPr>
      </w:pPr>
      <w:r>
        <w:rPr>
          <w:rFonts w:ascii="Arial" w:cs="Arial" w:eastAsia="Arial" w:hAnsi="Arial"/>
          <w:sz w:val="12"/>
          <w:szCs w:val="12"/>
          <w:color w:val="auto"/>
        </w:rPr>
        <w:t>Jones:</w:t>
      </w:r>
      <w:r>
        <w:rPr>
          <w:sz w:val="20"/>
          <w:szCs w:val="20"/>
          <w:color w:val="auto"/>
        </w:rPr>
        <w:tab/>
      </w:r>
      <w:r>
        <w:rPr>
          <w:rFonts w:ascii="Arial" w:cs="Arial" w:eastAsia="Arial" w:hAnsi="Arial"/>
          <w:sz w:val="12"/>
          <w:szCs w:val="12"/>
          <w:color w:val="auto"/>
        </w:rPr>
        <w:t>age 63 (12/31/2012 and 12/31/2011)</w:t>
      </w:r>
    </w:p>
    <w:p>
      <w:pPr>
        <w:ind w:left="589"/>
        <w:spacing w:after="0"/>
        <w:tabs>
          <w:tab w:leader="none" w:pos="1149" w:val="left"/>
        </w:tabs>
        <w:rPr>
          <w:sz w:val="20"/>
          <w:szCs w:val="20"/>
          <w:color w:val="auto"/>
        </w:rPr>
      </w:pPr>
      <w:r>
        <w:rPr>
          <w:rFonts w:ascii="Arial" w:cs="Arial" w:eastAsia="Arial" w:hAnsi="Arial"/>
          <w:sz w:val="12"/>
          <w:szCs w:val="12"/>
          <w:color w:val="auto"/>
        </w:rPr>
        <w:t>Rosberg:</w:t>
      </w:r>
      <w:r>
        <w:rPr>
          <w:sz w:val="20"/>
          <w:szCs w:val="20"/>
          <w:color w:val="auto"/>
        </w:rPr>
        <w:tab/>
      </w:r>
      <w:r>
        <w:rPr>
          <w:rFonts w:ascii="Arial" w:cs="Arial" w:eastAsia="Arial" w:hAnsi="Arial"/>
          <w:sz w:val="11"/>
          <w:szCs w:val="11"/>
          <w:color w:val="auto"/>
        </w:rPr>
        <w:t>age 66 (12/31/2012); age 65 (12/31/2011)</w:t>
      </w:r>
    </w:p>
    <w:p>
      <w:pPr>
        <w:ind w:left="589"/>
        <w:spacing w:after="0" w:line="237" w:lineRule="auto"/>
        <w:rPr>
          <w:sz w:val="20"/>
          <w:szCs w:val="20"/>
          <w:color w:val="auto"/>
        </w:rPr>
      </w:pPr>
      <w:r>
        <w:rPr>
          <w:rFonts w:ascii="Arial" w:cs="Arial" w:eastAsia="Arial" w:hAnsi="Arial"/>
          <w:sz w:val="12"/>
          <w:szCs w:val="12"/>
          <w:color w:val="auto"/>
        </w:rPr>
        <w:t>McDaniel: age 59 (12/31/2012 and 12/31/2011)</w:t>
      </w:r>
    </w:p>
    <w:p>
      <w:pPr>
        <w:ind w:left="589"/>
        <w:spacing w:after="0"/>
        <w:tabs>
          <w:tab w:leader="none" w:pos="1109" w:val="left"/>
        </w:tabs>
        <w:rPr>
          <w:sz w:val="20"/>
          <w:szCs w:val="20"/>
          <w:color w:val="auto"/>
        </w:rPr>
      </w:pPr>
      <w:r>
        <w:rPr>
          <w:rFonts w:ascii="Arial" w:cs="Arial" w:eastAsia="Arial" w:hAnsi="Arial"/>
          <w:sz w:val="12"/>
          <w:szCs w:val="12"/>
          <w:color w:val="auto"/>
        </w:rPr>
        <w:t>Dillon:</w:t>
        <w:tab/>
        <w:t>age 65 (12/31/2012 and 12/31/2011)</w:t>
      </w:r>
    </w:p>
    <w:p>
      <w:pPr>
        <w:spacing w:after="0" w:line="125" w:lineRule="exact"/>
        <w:rPr>
          <w:sz w:val="20"/>
          <w:szCs w:val="20"/>
          <w:color w:val="auto"/>
        </w:rPr>
      </w:pPr>
    </w:p>
    <w:p>
      <w:pPr>
        <w:ind w:left="289" w:right="2280"/>
        <w:spacing w:after="0" w:line="269" w:lineRule="auto"/>
        <w:rPr>
          <w:sz w:val="20"/>
          <w:szCs w:val="20"/>
          <w:color w:val="auto"/>
        </w:rPr>
      </w:pPr>
      <w:r>
        <w:rPr>
          <w:rFonts w:ascii="Arial" w:cs="Arial" w:eastAsia="Arial" w:hAnsi="Arial"/>
          <w:sz w:val="12"/>
          <w:szCs w:val="12"/>
          <w:color w:val="auto"/>
        </w:rPr>
        <w:t>Mr. Graham and Mr. Rosberg have both reached Normal Retirement Age (age 65). Mr. Jones, Ms. McDaniel and Ms. Dillon have all met the eligibility requirements for Early Retirement (age 55, with 10 years of Company service).</w:t>
      </w:r>
    </w:p>
    <w:p>
      <w:pPr>
        <w:spacing w:after="0" w:line="100" w:lineRule="exact"/>
        <w:rPr>
          <w:sz w:val="20"/>
          <w:szCs w:val="20"/>
          <w:color w:val="auto"/>
        </w:rPr>
      </w:pPr>
    </w:p>
    <w:p>
      <w:pPr>
        <w:jc w:val="both"/>
        <w:ind w:left="289"/>
        <w:spacing w:after="0" w:line="253" w:lineRule="auto"/>
        <w:rPr>
          <w:sz w:val="20"/>
          <w:szCs w:val="20"/>
          <w:color w:val="auto"/>
        </w:rPr>
      </w:pPr>
      <w:r>
        <w:rPr>
          <w:rFonts w:ascii="Arial" w:cs="Arial" w:eastAsia="Arial" w:hAnsi="Arial"/>
          <w:sz w:val="12"/>
          <w:szCs w:val="12"/>
          <w:color w:val="auto"/>
        </w:rPr>
        <w:t>Changes in the present value of benefits in 2012 are attributable to The Retirement Plan for Washington Post Companies (“Retirement Plan”) and the corresponding benefit under the SERP as follows: Mr. Graham – $315,660 Retirement Plan and $149,064 the SERP; Mr. Jones – $207,674 Retirement Plan and $1,031,576 the SERP; Mr. Rosberg – $92,269 Retirement Plan and $202,087 the SERP; Ms. McDaniel – $265,273 Ret Plan and $921,103 the SERP; Ms. Dillon – $87,912 Retirement Plan and $931,824 the SERP.</w:t>
      </w:r>
    </w:p>
    <w:p>
      <w:pPr>
        <w:spacing w:after="0" w:line="110" w:lineRule="exact"/>
        <w:rPr>
          <w:sz w:val="20"/>
          <w:szCs w:val="20"/>
          <w:color w:val="auto"/>
        </w:rPr>
      </w:pPr>
    </w:p>
    <w:p>
      <w:pPr>
        <w:ind w:left="289"/>
        <w:spacing w:after="0"/>
        <w:rPr>
          <w:sz w:val="20"/>
          <w:szCs w:val="20"/>
          <w:color w:val="auto"/>
        </w:rPr>
      </w:pPr>
      <w:r>
        <w:rPr>
          <w:rFonts w:ascii="Arial" w:cs="Arial" w:eastAsia="Arial" w:hAnsi="Arial"/>
          <w:sz w:val="12"/>
          <w:szCs w:val="12"/>
          <w:color w:val="auto"/>
        </w:rPr>
        <w:t>The values of accumulated plan benefits were determined using a discount rate of 4.00% at 12/31/2012 and 4.70% at 12/31/2011.</w:t>
      </w:r>
    </w:p>
    <w:p>
      <w:pPr>
        <w:spacing w:after="0" w:line="197" w:lineRule="exact"/>
        <w:rPr>
          <w:sz w:val="20"/>
          <w:szCs w:val="20"/>
          <w:color w:val="auto"/>
        </w:rPr>
      </w:pPr>
    </w:p>
    <w:p>
      <w:pPr>
        <w:ind w:left="269" w:hanging="269"/>
        <w:spacing w:after="0"/>
        <w:tabs>
          <w:tab w:leader="none" w:pos="269" w:val="left"/>
        </w:tabs>
        <w:numPr>
          <w:ilvl w:val="0"/>
          <w:numId w:val="28"/>
        </w:numPr>
        <w:rPr>
          <w:rFonts w:ascii="Arial" w:cs="Arial" w:eastAsia="Arial" w:hAnsi="Arial"/>
          <w:sz w:val="12"/>
          <w:szCs w:val="12"/>
          <w:color w:val="auto"/>
        </w:rPr>
      </w:pPr>
      <w:r>
        <w:rPr>
          <w:rFonts w:ascii="Arial" w:cs="Arial" w:eastAsia="Arial" w:hAnsi="Arial"/>
          <w:sz w:val="12"/>
          <w:szCs w:val="12"/>
          <w:color w:val="auto"/>
        </w:rPr>
        <w:t>For 2012, the amounts presented include the information in the following table:</w:t>
      </w:r>
    </w:p>
    <w:p>
      <w:pPr>
        <w:spacing w:after="0" w:line="2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48" w:right="139" w:bottom="1440" w:gutter="0" w:footer="0" w:header="0"/>
        </w:sectPr>
      </w:pPr>
    </w:p>
    <w:bookmarkStart w:id="26" w:name="page27"/>
    <w:bookmarkEnd w:id="26"/>
    <w:p>
      <w:pPr>
        <w:ind w:left="4529"/>
        <w:spacing w:after="0"/>
        <w:rPr>
          <w:sz w:val="20"/>
          <w:szCs w:val="20"/>
          <w:color w:val="auto"/>
        </w:rPr>
      </w:pPr>
      <w:r>
        <w:rPr>
          <w:rFonts w:ascii="Arial" w:cs="Arial" w:eastAsia="Arial" w:hAnsi="Arial"/>
          <w:sz w:val="17"/>
          <w:szCs w:val="17"/>
          <w:b w:val="1"/>
          <w:bCs w:val="1"/>
          <w:color w:val="auto"/>
        </w:rPr>
        <w:t>ALL OTHER COMPENSATION</w:t>
      </w:r>
    </w:p>
    <w:p>
      <w:pPr>
        <w:spacing w:after="0" w:line="235" w:lineRule="exact"/>
        <w:rPr>
          <w:sz w:val="20"/>
          <w:szCs w:val="20"/>
          <w:color w:val="auto"/>
        </w:rPr>
      </w:pPr>
    </w:p>
    <w:tbl>
      <w:tblPr>
        <w:tblLayout w:type="fixed"/>
        <w:tblInd w:w="19" w:type="dxa"/>
        <w:tblCellMar>
          <w:top w:w="0" w:type="dxa"/>
          <w:left w:w="0" w:type="dxa"/>
          <w:bottom w:w="0" w:type="dxa"/>
          <w:right w:w="0" w:type="dxa"/>
        </w:tblCellMar>
      </w:tblPr>
      <w:tr>
        <w:trPr>
          <w:trHeight w:val="210"/>
        </w:trPr>
        <w:tc>
          <w:tcPr>
            <w:tcW w:w="184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Dividends Not</w:t>
            </w:r>
          </w:p>
        </w:tc>
        <w:tc>
          <w:tcPr>
            <w:tcW w:w="1320" w:type="dxa"/>
            <w:vAlign w:val="bottom"/>
            <w:tcBorders>
              <w:top w:val="single" w:sz="8" w:color="auto"/>
            </w:tcBorders>
          </w:tcPr>
          <w:p>
            <w:pPr>
              <w:spacing w:after="0"/>
              <w:rPr>
                <w:sz w:val="18"/>
                <w:szCs w:val="18"/>
                <w:color w:val="auto"/>
              </w:rPr>
            </w:pPr>
          </w:p>
        </w:tc>
      </w:tr>
      <w:tr>
        <w:trPr>
          <w:trHeight w:val="211"/>
        </w:trPr>
        <w:tc>
          <w:tcPr>
            <w:tcW w:w="184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Factored in</w:t>
            </w:r>
          </w:p>
        </w:tc>
        <w:tc>
          <w:tcPr>
            <w:tcW w:w="1320" w:type="dxa"/>
            <w:vAlign w:val="bottom"/>
          </w:tcPr>
          <w:p>
            <w:pPr>
              <w:spacing w:after="0"/>
              <w:rPr>
                <w:sz w:val="18"/>
                <w:szCs w:val="18"/>
                <w:color w:val="auto"/>
              </w:rPr>
            </w:pPr>
          </w:p>
        </w:tc>
      </w:tr>
      <w:tr>
        <w:trPr>
          <w:trHeight w:val="186"/>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Grant Date</w:t>
            </w:r>
          </w:p>
        </w:tc>
        <w:tc>
          <w:tcPr>
            <w:tcW w:w="1320" w:type="dxa"/>
            <w:vAlign w:val="bottom"/>
          </w:tcPr>
          <w:p>
            <w:pPr>
              <w:spacing w:after="0"/>
              <w:rPr>
                <w:sz w:val="16"/>
                <w:szCs w:val="16"/>
                <w:color w:val="auto"/>
              </w:rPr>
            </w:pPr>
          </w:p>
        </w:tc>
      </w:tr>
      <w:tr>
        <w:trPr>
          <w:trHeight w:val="186"/>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401(k) Company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SERP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Fair Value of</w:t>
            </w:r>
          </w:p>
        </w:tc>
        <w:tc>
          <w:tcPr>
            <w:tcW w:w="1320" w:type="dxa"/>
            <w:vAlign w:val="bottom"/>
          </w:tcPr>
          <w:p>
            <w:pPr>
              <w:spacing w:after="0"/>
              <w:rPr>
                <w:sz w:val="16"/>
                <w:szCs w:val="16"/>
                <w:color w:val="auto"/>
              </w:rPr>
            </w:pPr>
          </w:p>
        </w:tc>
      </w:tr>
      <w:tr>
        <w:trPr>
          <w:trHeight w:val="133"/>
        </w:trPr>
        <w:tc>
          <w:tcPr>
            <w:tcW w:w="1840" w:type="dxa"/>
            <w:vAlign w:val="bottom"/>
            <w:tcBorders>
              <w:left w:val="single" w:sz="8" w:color="auto"/>
              <w:right w:val="single" w:sz="8" w:color="auto"/>
            </w:tcBorders>
          </w:tcPr>
          <w:p>
            <w:pPr>
              <w:ind w:left="580"/>
              <w:spacing w:after="0" w:line="133" w:lineRule="exact"/>
              <w:rPr>
                <w:sz w:val="20"/>
                <w:szCs w:val="20"/>
                <w:color w:val="auto"/>
              </w:rPr>
            </w:pPr>
            <w:r>
              <w:rPr>
                <w:rFonts w:ascii="Arial" w:cs="Arial" w:eastAsia="Arial" w:hAnsi="Arial"/>
                <w:sz w:val="12"/>
                <w:szCs w:val="12"/>
                <w:b w:val="1"/>
                <w:bCs w:val="1"/>
                <w:color w:val="auto"/>
              </w:rPr>
              <w:t>Name</w:t>
            </w:r>
          </w:p>
        </w:tc>
        <w:tc>
          <w:tcPr>
            <w:tcW w:w="18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1"/>
              </w:rPr>
              <w:t>Perquisites ($)</w:t>
            </w:r>
          </w:p>
        </w:tc>
        <w:tc>
          <w:tcPr>
            <w:tcW w:w="1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5"/>
              </w:rPr>
              <w:t>Contributions ($)</w:t>
            </w:r>
          </w:p>
        </w:tc>
        <w:tc>
          <w:tcPr>
            <w:tcW w:w="18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5"/>
              </w:rPr>
              <w:t>Contributions ($)</w:t>
            </w:r>
          </w:p>
        </w:tc>
        <w:tc>
          <w:tcPr>
            <w:tcW w:w="22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4"/>
              </w:rPr>
              <w:t>Equity Awards ($)</w:t>
            </w:r>
          </w:p>
        </w:tc>
        <w:tc>
          <w:tcPr>
            <w:tcW w:w="1320" w:type="dxa"/>
            <w:vAlign w:val="bottom"/>
          </w:tcPr>
          <w:p>
            <w:pPr>
              <w:jc w:val="center"/>
              <w:ind w:left="378"/>
              <w:spacing w:after="0" w:line="133" w:lineRule="exact"/>
              <w:rPr>
                <w:sz w:val="20"/>
                <w:szCs w:val="20"/>
                <w:color w:val="auto"/>
              </w:rPr>
            </w:pPr>
            <w:r>
              <w:rPr>
                <w:rFonts w:ascii="Arial" w:cs="Arial" w:eastAsia="Arial" w:hAnsi="Arial"/>
                <w:sz w:val="12"/>
                <w:szCs w:val="12"/>
                <w:b w:val="1"/>
                <w:bCs w:val="1"/>
                <w:color w:val="auto"/>
                <w:w w:val="94"/>
              </w:rPr>
              <w:t>Total ($)</w:t>
            </w:r>
          </w:p>
        </w:tc>
      </w:tr>
      <w:tr>
        <w:trPr>
          <w:trHeight w:val="179"/>
        </w:trPr>
        <w:tc>
          <w:tcPr>
            <w:tcW w:w="184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2"/>
                <w:szCs w:val="12"/>
                <w:b w:val="1"/>
                <w:bCs w:val="1"/>
                <w:color w:val="auto"/>
              </w:rPr>
              <w:t>(a)</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87"/>
              </w:rPr>
              <w:t>(b)</w:t>
            </w:r>
            <w:r>
              <w:rPr>
                <w:rFonts w:ascii="Arial" w:cs="Arial" w:eastAsia="Arial" w:hAnsi="Arial"/>
                <w:sz w:val="20"/>
                <w:szCs w:val="20"/>
                <w:b w:val="1"/>
                <w:bCs w:val="1"/>
                <w:color w:val="auto"/>
                <w:w w:val="87"/>
                <w:vertAlign w:val="superscript"/>
              </w:rPr>
              <w: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w:t>
            </w:r>
          </w:p>
        </w:tc>
        <w:tc>
          <w:tcPr>
            <w:tcW w:w="22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81"/>
              </w:rPr>
              <w:t>(e)</w:t>
            </w:r>
            <w:r>
              <w:rPr>
                <w:rFonts w:ascii="Arial" w:cs="Arial" w:eastAsia="Arial" w:hAnsi="Arial"/>
                <w:sz w:val="20"/>
                <w:szCs w:val="20"/>
                <w:b w:val="1"/>
                <w:bCs w:val="1"/>
                <w:color w:val="auto"/>
                <w:w w:val="81"/>
                <w:vertAlign w:val="superscript"/>
              </w:rPr>
              <w:t>2</w:t>
            </w:r>
          </w:p>
        </w:tc>
        <w:tc>
          <w:tcPr>
            <w:tcW w:w="1320" w:type="dxa"/>
            <w:vAlign w:val="bottom"/>
            <w:tcBorders>
              <w:bottom w:val="single" w:sz="8" w:color="auto"/>
            </w:tcBorders>
          </w:tcPr>
          <w:p>
            <w:pPr>
              <w:jc w:val="center"/>
              <w:ind w:left="418"/>
              <w:spacing w:after="0"/>
              <w:rPr>
                <w:sz w:val="20"/>
                <w:szCs w:val="20"/>
                <w:color w:val="auto"/>
              </w:rPr>
            </w:pPr>
            <w:r>
              <w:rPr>
                <w:rFonts w:ascii="Arial" w:cs="Arial" w:eastAsia="Arial" w:hAnsi="Arial"/>
                <w:sz w:val="12"/>
                <w:szCs w:val="12"/>
                <w:b w:val="1"/>
                <w:bCs w:val="1"/>
                <w:color w:val="auto"/>
                <w:w w:val="99"/>
              </w:rPr>
              <w:t>(f)</w:t>
            </w:r>
          </w:p>
        </w:tc>
      </w:tr>
      <w:tr>
        <w:trPr>
          <w:trHeight w:val="129"/>
        </w:trPr>
        <w:tc>
          <w:tcPr>
            <w:tcW w:w="1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Donald E. Graham</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13,000</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22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13,000</w:t>
            </w:r>
          </w:p>
        </w:tc>
      </w:tr>
      <w:tr>
        <w:trPr>
          <w:trHeight w:val="129"/>
        </w:trPr>
        <w:tc>
          <w:tcPr>
            <w:tcW w:w="1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Hal S. Jones</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13,000</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23,400</w:t>
            </w:r>
          </w:p>
        </w:tc>
        <w:tc>
          <w:tcPr>
            <w:tcW w:w="22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31,360</w:t>
            </w:r>
          </w:p>
        </w:tc>
        <w:tc>
          <w:tcPr>
            <w:tcW w:w="13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67,760</w:t>
            </w:r>
          </w:p>
        </w:tc>
      </w:tr>
      <w:tr>
        <w:trPr>
          <w:trHeight w:val="129"/>
        </w:trPr>
        <w:tc>
          <w:tcPr>
            <w:tcW w:w="1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Gerald M. Rosberg</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13,000</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17,797</w:t>
            </w:r>
          </w:p>
        </w:tc>
        <w:tc>
          <w:tcPr>
            <w:tcW w:w="22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33,810</w:t>
            </w:r>
          </w:p>
        </w:tc>
        <w:tc>
          <w:tcPr>
            <w:tcW w:w="13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64,607</w:t>
            </w:r>
          </w:p>
        </w:tc>
      </w:tr>
      <w:tr>
        <w:trPr>
          <w:trHeight w:val="129"/>
        </w:trPr>
        <w:tc>
          <w:tcPr>
            <w:tcW w:w="1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Ann L. McDaniel</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19,266</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13,000</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17,797</w:t>
            </w:r>
          </w:p>
        </w:tc>
        <w:tc>
          <w:tcPr>
            <w:tcW w:w="22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31,360</w:t>
            </w:r>
          </w:p>
        </w:tc>
        <w:tc>
          <w:tcPr>
            <w:tcW w:w="13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81,423</w:t>
            </w:r>
          </w:p>
        </w:tc>
      </w:tr>
      <w:tr>
        <w:trPr>
          <w:trHeight w:val="129"/>
        </w:trPr>
        <w:tc>
          <w:tcPr>
            <w:tcW w:w="1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Veronica Dillon</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82,468</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13,000</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17,797</w:t>
            </w:r>
          </w:p>
        </w:tc>
        <w:tc>
          <w:tcPr>
            <w:tcW w:w="22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31,360</w:t>
            </w:r>
          </w:p>
        </w:tc>
        <w:tc>
          <w:tcPr>
            <w:tcW w:w="1320" w:type="dxa"/>
            <w:vAlign w:val="bottom"/>
            <w:tcBorders>
              <w:bottom w:val="single" w:sz="8" w:color="auto"/>
            </w:tcBorders>
          </w:tcPr>
          <w:p>
            <w:pPr>
              <w:jc w:val="center"/>
              <w:ind w:left="378"/>
              <w:spacing w:after="0" w:line="129" w:lineRule="exact"/>
              <w:rPr>
                <w:sz w:val="20"/>
                <w:szCs w:val="20"/>
                <w:color w:val="auto"/>
              </w:rPr>
            </w:pPr>
            <w:r>
              <w:rPr>
                <w:rFonts w:ascii="Arial" w:cs="Arial" w:eastAsia="Arial" w:hAnsi="Arial"/>
                <w:sz w:val="12"/>
                <w:szCs w:val="12"/>
                <w:color w:val="auto"/>
                <w:w w:val="92"/>
              </w:rPr>
              <w:t>144,625</w:t>
            </w:r>
          </w:p>
        </w:tc>
      </w:tr>
    </w:tbl>
    <w:p>
      <w:pPr>
        <w:spacing w:after="0" w:line="227" w:lineRule="exact"/>
        <w:rPr>
          <w:sz w:val="20"/>
          <w:szCs w:val="20"/>
          <w:color w:val="auto"/>
        </w:rPr>
      </w:pPr>
    </w:p>
    <w:p>
      <w:pPr>
        <w:ind w:left="229" w:hanging="229"/>
        <w:spacing w:after="0" w:line="269" w:lineRule="auto"/>
        <w:tabs>
          <w:tab w:leader="none" w:pos="229"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 represents $19,266 for financial planning services provided by the Company for Ms. McDaniel; the amount represents $17,785 for financial planning services and $64,683 for living expenses provid Company for Ms. Dillon.</w:t>
      </w:r>
    </w:p>
    <w:p>
      <w:pPr>
        <w:spacing w:after="0" w:line="100" w:lineRule="exact"/>
        <w:rPr>
          <w:rFonts w:ascii="Arial" w:cs="Arial" w:eastAsia="Arial" w:hAnsi="Arial"/>
          <w:sz w:val="12"/>
          <w:szCs w:val="12"/>
          <w:color w:val="auto"/>
        </w:rPr>
      </w:pPr>
    </w:p>
    <w:p>
      <w:pPr>
        <w:ind w:left="229" w:hanging="229"/>
        <w:spacing w:after="0" w:line="269" w:lineRule="auto"/>
        <w:tabs>
          <w:tab w:leader="none" w:pos="209"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amounts represent dividends attributable to restricted stock granted under the Company’s Incentive Compensation Plan and 2012 Incentive Compensation Plan. The amounts include accelerated 2013 annual divid in December 2012.</w:t>
      </w:r>
    </w:p>
    <w:p>
      <w:pPr>
        <w:spacing w:after="0" w:line="159" w:lineRule="exact"/>
        <w:rPr>
          <w:sz w:val="20"/>
          <w:szCs w:val="20"/>
          <w:color w:val="auto"/>
        </w:rPr>
      </w:pPr>
    </w:p>
    <w:p>
      <w:pPr>
        <w:ind w:left="9" w:firstLine="709"/>
        <w:spacing w:after="0" w:line="260" w:lineRule="auto"/>
        <w:rPr>
          <w:sz w:val="20"/>
          <w:szCs w:val="20"/>
          <w:color w:val="auto"/>
        </w:rPr>
      </w:pPr>
      <w:r>
        <w:rPr>
          <w:rFonts w:ascii="Arial" w:cs="Arial" w:eastAsia="Arial" w:hAnsi="Arial"/>
          <w:sz w:val="17"/>
          <w:szCs w:val="17"/>
          <w:color w:val="auto"/>
        </w:rPr>
        <w:t>The following table provides information on awards made under the Company’s 2012 Incentive Compensation Plan to each of the named executive officer 2012. The types of awards granted in 2012 include annual incentive and restricted stock awards:</w:t>
      </w:r>
    </w:p>
    <w:p>
      <w:pPr>
        <w:spacing w:after="0" w:line="168" w:lineRule="exact"/>
        <w:rPr>
          <w:sz w:val="20"/>
          <w:szCs w:val="20"/>
          <w:color w:val="auto"/>
        </w:rPr>
      </w:pPr>
    </w:p>
    <w:p>
      <w:pPr>
        <w:ind w:left="4309"/>
        <w:spacing w:after="0"/>
        <w:rPr>
          <w:sz w:val="20"/>
          <w:szCs w:val="20"/>
          <w:color w:val="auto"/>
        </w:rPr>
      </w:pPr>
      <w:r>
        <w:rPr>
          <w:rFonts w:ascii="Arial" w:cs="Arial" w:eastAsia="Arial" w:hAnsi="Arial"/>
          <w:sz w:val="17"/>
          <w:szCs w:val="17"/>
          <w:b w:val="1"/>
          <w:bCs w:val="1"/>
          <w:color w:val="auto"/>
        </w:rPr>
        <w:t>GRANTS OF PLAN-BASED AWARDS</w:t>
      </w:r>
    </w:p>
    <w:p>
      <w:pPr>
        <w:spacing w:after="0" w:line="200" w:lineRule="exact"/>
        <w:rPr>
          <w:sz w:val="20"/>
          <w:szCs w:val="20"/>
          <w:color w:val="auto"/>
        </w:rPr>
      </w:pPr>
    </w:p>
    <w:p>
      <w:pPr>
        <w:spacing w:after="0" w:line="209" w:lineRule="exact"/>
        <w:rPr>
          <w:sz w:val="20"/>
          <w:szCs w:val="20"/>
          <w:color w:val="auto"/>
        </w:rPr>
      </w:pPr>
    </w:p>
    <w:tbl>
      <w:tblPr>
        <w:tblLayout w:type="fixed"/>
        <w:tblInd w:w="139" w:type="dxa"/>
        <w:tblCellMar>
          <w:top w:w="0" w:type="dxa"/>
          <w:left w:w="0" w:type="dxa"/>
          <w:bottom w:w="0" w:type="dxa"/>
          <w:right w:w="0" w:type="dxa"/>
        </w:tblCellMar>
      </w:tblPr>
      <w:tr>
        <w:trPr>
          <w:trHeight w:val="220"/>
        </w:trPr>
        <w:tc>
          <w:tcPr>
            <w:tcW w:w="1740" w:type="dxa"/>
            <w:vAlign w:val="bottom"/>
            <w:tcBorders>
              <w:top w:val="single" w:sz="8" w:color="auto"/>
              <w:left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Non-</w:t>
            </w:r>
          </w:p>
        </w:tc>
        <w:tc>
          <w:tcPr>
            <w:tcW w:w="2180" w:type="dxa"/>
            <w:vAlign w:val="bottom"/>
            <w:tcBorders>
              <w:top w:val="single" w:sz="8" w:color="auto"/>
              <w:right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Estimated Future Payouts Under</w:t>
            </w:r>
          </w:p>
        </w:tc>
        <w:tc>
          <w:tcPr>
            <w:tcW w:w="204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6"/>
              </w:rPr>
              <w:t>Estimated Future Payouts</w:t>
            </w:r>
          </w:p>
        </w:tc>
        <w:tc>
          <w:tcPr>
            <w:tcW w:w="80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equity</w:t>
            </w:r>
          </w:p>
        </w:tc>
        <w:tc>
          <w:tcPr>
            <w:tcW w:w="2180" w:type="dxa"/>
            <w:vAlign w:val="bottom"/>
            <w:tcBorders>
              <w:right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w w:val="98"/>
              </w:rPr>
              <w:t>Non-Equity Incentive Plan Awards</w:t>
            </w:r>
          </w:p>
        </w:tc>
        <w:tc>
          <w:tcPr>
            <w:tcW w:w="6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Under Equity</w:t>
            </w:r>
          </w:p>
        </w:tc>
        <w:tc>
          <w:tcPr>
            <w:tcW w:w="4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2"/>
        </w:trPr>
        <w:tc>
          <w:tcPr>
            <w:tcW w:w="174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Incentive</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2"/>
                <w:szCs w:val="12"/>
                <w:b w:val="1"/>
                <w:bCs w:val="1"/>
                <w:color w:val="auto"/>
                <w:w w:val="87"/>
              </w:rPr>
              <w:t>Incentive Plan Awards</w:t>
            </w:r>
          </w:p>
        </w:tc>
        <w:tc>
          <w:tcPr>
            <w:tcW w:w="480" w:type="dxa"/>
            <w:vAlign w:val="bottom"/>
            <w:tcBorders>
              <w:bottom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Closing</w:t>
            </w:r>
          </w:p>
        </w:tc>
        <w:tc>
          <w:tcPr>
            <w:tcW w:w="180" w:type="dxa"/>
            <w:vAlign w:val="bottom"/>
          </w:tcPr>
          <w:p>
            <w:pPr>
              <w:spacing w:after="0"/>
              <w:rPr>
                <w:sz w:val="13"/>
                <w:szCs w:val="13"/>
                <w:color w:val="auto"/>
              </w:rPr>
            </w:pPr>
          </w:p>
        </w:tc>
      </w:tr>
      <w:tr>
        <w:trPr>
          <w:trHeight w:val="151"/>
        </w:trPr>
        <w:tc>
          <w:tcPr>
            <w:tcW w:w="174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Plan</w:t>
            </w:r>
          </w:p>
        </w:tc>
        <w:tc>
          <w:tcPr>
            <w:tcW w:w="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 on</w:t>
            </w:r>
          </w:p>
        </w:tc>
        <w:tc>
          <w:tcPr>
            <w:tcW w:w="180" w:type="dxa"/>
            <w:vAlign w:val="bottom"/>
          </w:tcPr>
          <w:p>
            <w:pPr>
              <w:spacing w:after="0"/>
              <w:rPr>
                <w:sz w:val="13"/>
                <w:szCs w:val="13"/>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Awards:</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Exercise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Date of</w:t>
            </w:r>
          </w:p>
        </w:tc>
        <w:tc>
          <w:tcPr>
            <w:tcW w:w="180" w:type="dxa"/>
            <w:vAlign w:val="bottom"/>
          </w:tcPr>
          <w:p>
            <w:pPr>
              <w:spacing w:after="0"/>
              <w:rPr>
                <w:sz w:val="14"/>
                <w:szCs w:val="14"/>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Number</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Awards: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Awards: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or Base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 for</w:t>
            </w:r>
          </w:p>
        </w:tc>
        <w:tc>
          <w:tcPr>
            <w:tcW w:w="180" w:type="dxa"/>
            <w:vAlign w:val="bottom"/>
          </w:tcPr>
          <w:p>
            <w:pPr>
              <w:ind w:left="120"/>
              <w:spacing w:after="0"/>
              <w:rPr>
                <w:sz w:val="20"/>
                <w:szCs w:val="20"/>
                <w:color w:val="auto"/>
              </w:rPr>
            </w:pPr>
            <w:r>
              <w:rPr>
                <w:rFonts w:ascii="Arial" w:cs="Arial" w:eastAsia="Arial" w:hAnsi="Arial"/>
                <w:sz w:val="8"/>
                <w:szCs w:val="8"/>
                <w:b w:val="1"/>
                <w:bCs w:val="1"/>
                <w:color w:val="auto"/>
                <w:w w:val="74"/>
              </w:rPr>
              <w:t>V</w:t>
            </w: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of Units</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Price of</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Option</w:t>
            </w:r>
          </w:p>
        </w:tc>
        <w:tc>
          <w:tcPr>
            <w:tcW w:w="180" w:type="dxa"/>
            <w:vAlign w:val="bottom"/>
          </w:tcPr>
          <w:p>
            <w:pPr>
              <w:spacing w:after="0"/>
              <w:rPr>
                <w:sz w:val="14"/>
                <w:szCs w:val="14"/>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Other</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Securities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Option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Awards, if</w:t>
            </w:r>
          </w:p>
        </w:tc>
        <w:tc>
          <w:tcPr>
            <w:tcW w:w="180" w:type="dxa"/>
            <w:vAlign w:val="bottom"/>
          </w:tcPr>
          <w:p>
            <w:pPr>
              <w:spacing w:after="0"/>
              <w:rPr>
                <w:sz w:val="14"/>
                <w:szCs w:val="14"/>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Rights</w:t>
            </w:r>
          </w:p>
        </w:tc>
        <w:tc>
          <w:tcPr>
            <w:tcW w:w="700" w:type="dxa"/>
            <w:vAlign w:val="bottom"/>
            <w:tcBorders>
              <w:right w:val="single" w:sz="8" w:color="auto"/>
            </w:tcBorders>
          </w:tcPr>
          <w:p>
            <w:pPr>
              <w:ind w:left="80"/>
              <w:spacing w:after="0"/>
              <w:rPr>
                <w:sz w:val="20"/>
                <w:szCs w:val="20"/>
                <w:color w:val="auto"/>
              </w:rPr>
            </w:pPr>
            <w:r>
              <w:rPr>
                <w:rFonts w:ascii="Arial" w:cs="Arial" w:eastAsia="Arial" w:hAnsi="Arial"/>
                <w:sz w:val="12"/>
                <w:szCs w:val="12"/>
                <w:b w:val="1"/>
                <w:bCs w:val="1"/>
                <w:color w:val="auto"/>
                <w:w w:val="99"/>
              </w:rPr>
              <w:t>Threshold</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Target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Max</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Threshold</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Target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w w:val="94"/>
              </w:rPr>
              <w:t>Max</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of Stock or</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Underlying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Awards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Different</w:t>
            </w:r>
          </w:p>
        </w:tc>
        <w:tc>
          <w:tcPr>
            <w:tcW w:w="180" w:type="dxa"/>
            <w:vAlign w:val="bottom"/>
          </w:tcPr>
          <w:p>
            <w:pPr>
              <w:spacing w:after="0"/>
              <w:rPr>
                <w:sz w:val="14"/>
                <w:szCs w:val="14"/>
                <w:color w:val="auto"/>
              </w:rPr>
            </w:pPr>
          </w:p>
        </w:tc>
      </w:tr>
      <w:tr>
        <w:trPr>
          <w:trHeight w:val="161"/>
        </w:trPr>
        <w:tc>
          <w:tcPr>
            <w:tcW w:w="17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w w:val="95"/>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Units (#)</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Options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($/share)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ind w:left="140"/>
              <w:spacing w:after="0"/>
              <w:rPr>
                <w:sz w:val="20"/>
                <w:szCs w:val="20"/>
                <w:color w:val="auto"/>
              </w:rPr>
            </w:pPr>
            <w:r>
              <w:rPr>
                <w:rFonts w:ascii="Arial" w:cs="Arial" w:eastAsia="Arial" w:hAnsi="Arial"/>
                <w:sz w:val="3"/>
                <w:szCs w:val="3"/>
                <w:b w:val="1"/>
                <w:bCs w:val="1"/>
                <w:color w:val="auto"/>
                <w:w w:val="90"/>
              </w:rPr>
              <w:t>A</w:t>
            </w:r>
          </w:p>
        </w:tc>
      </w:tr>
      <w:tr>
        <w:trPr>
          <w:trHeight w:val="152"/>
        </w:trPr>
        <w:tc>
          <w:tcPr>
            <w:tcW w:w="174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2"/>
                <w:szCs w:val="12"/>
                <w:b w:val="1"/>
                <w:bCs w:val="1"/>
                <w:color w:val="auto"/>
              </w:rPr>
              <w:t>Name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7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77"/>
              </w:rPr>
              <w:t>(g)</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(h)</w:t>
            </w: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w w:val="87"/>
              </w:rPr>
              <w:t>(i)</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(k)</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w:t>
            </w:r>
          </w:p>
        </w:tc>
        <w:tc>
          <w:tcPr>
            <w:tcW w:w="180" w:type="dxa"/>
            <w:vAlign w:val="bottom"/>
            <w:tcBorders>
              <w:bottom w:val="single" w:sz="8" w:color="auto"/>
            </w:tcBorders>
          </w:tcPr>
          <w:p>
            <w:pPr>
              <w:spacing w:after="0"/>
              <w:rPr>
                <w:sz w:val="13"/>
                <w:szCs w:val="13"/>
                <w:color w:val="auto"/>
              </w:rPr>
            </w:pPr>
          </w:p>
        </w:tc>
      </w:tr>
      <w:tr>
        <w:trPr>
          <w:trHeight w:val="141"/>
        </w:trPr>
        <w:tc>
          <w:tcPr>
            <w:tcW w:w="17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Donald E. Graham</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spacing w:after="0"/>
              <w:rPr>
                <w:sz w:val="12"/>
                <w:szCs w:val="12"/>
                <w:color w:val="auto"/>
              </w:rPr>
            </w:pPr>
          </w:p>
        </w:tc>
      </w:tr>
      <w:tr>
        <w:trPr>
          <w:trHeight w:val="134"/>
        </w:trPr>
        <w:tc>
          <w:tcPr>
            <w:tcW w:w="1740" w:type="dxa"/>
            <w:vAlign w:val="bottom"/>
            <w:tcBorders>
              <w:left w:val="single" w:sz="8" w:color="auto"/>
              <w:right w:val="single" w:sz="8" w:color="auto"/>
            </w:tcBorders>
          </w:tcPr>
          <w:p>
            <w:pPr>
              <w:spacing w:after="0" w:line="134" w:lineRule="exact"/>
              <w:rPr>
                <w:sz w:val="20"/>
                <w:szCs w:val="20"/>
                <w:color w:val="auto"/>
              </w:rPr>
            </w:pPr>
            <w:r>
              <w:rPr>
                <w:rFonts w:ascii="Arial" w:cs="Arial" w:eastAsia="Arial" w:hAnsi="Arial"/>
                <w:sz w:val="12"/>
                <w:szCs w:val="12"/>
                <w:color w:val="auto"/>
              </w:rPr>
              <w:t>Hal S. Jones</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1740" w:type="dxa"/>
            <w:vAlign w:val="bottom"/>
            <w:tcBorders>
              <w:left w:val="single" w:sz="8" w:color="auto"/>
              <w:right w:val="single" w:sz="8" w:color="auto"/>
            </w:tcBorders>
          </w:tcPr>
          <w:p>
            <w:pPr>
              <w:ind w:left="120"/>
              <w:spacing w:after="0" w:line="162" w:lineRule="exact"/>
              <w:rPr>
                <w:sz w:val="20"/>
                <w:szCs w:val="20"/>
                <w:color w:val="auto"/>
              </w:rPr>
            </w:pPr>
            <w:r>
              <w:rPr>
                <w:rFonts w:ascii="Arial" w:cs="Arial" w:eastAsia="Arial" w:hAnsi="Arial"/>
                <w:sz w:val="11"/>
                <w:szCs w:val="11"/>
                <w:color w:val="auto"/>
              </w:rPr>
              <w:t>Annual Incentive</w:t>
            </w:r>
            <w:r>
              <w:rPr>
                <w:rFonts w:ascii="Arial" w:cs="Arial" w:eastAsia="Arial" w:hAnsi="Arial"/>
                <w:sz w:val="18"/>
                <w:szCs w:val="18"/>
                <w:color w:val="auto"/>
                <w:vertAlign w:val="superscript"/>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175,000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350,000</w:t>
            </w:r>
          </w:p>
        </w:tc>
        <w:tc>
          <w:tcPr>
            <w:tcW w:w="800" w:type="dxa"/>
            <w:vAlign w:val="bottom"/>
            <w:tcBorders>
              <w:right w:val="single" w:sz="8" w:color="auto"/>
            </w:tcBorders>
          </w:tcPr>
          <w:p>
            <w:pPr>
              <w:jc w:val="center"/>
              <w:ind w:right="19"/>
              <w:spacing w:after="0"/>
              <w:rPr>
                <w:sz w:val="20"/>
                <w:szCs w:val="20"/>
                <w:color w:val="auto"/>
              </w:rPr>
            </w:pPr>
            <w:r>
              <w:rPr>
                <w:rFonts w:ascii="Arial" w:cs="Arial" w:eastAsia="Arial" w:hAnsi="Arial"/>
                <w:sz w:val="12"/>
                <w:szCs w:val="12"/>
                <w:color w:val="auto"/>
                <w:w w:val="92"/>
              </w:rPr>
              <w:t>612,500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4"/>
                <w:szCs w:val="14"/>
                <w:color w:val="auto"/>
              </w:rPr>
            </w:pPr>
          </w:p>
        </w:tc>
      </w:tr>
      <w:tr>
        <w:trPr>
          <w:trHeight w:val="168"/>
        </w:trPr>
        <w:tc>
          <w:tcPr>
            <w:tcW w:w="1740" w:type="dxa"/>
            <w:vAlign w:val="bottom"/>
            <w:tcBorders>
              <w:left w:val="single" w:sz="8" w:color="auto"/>
              <w:bottom w:val="single" w:sz="8" w:color="auto"/>
              <w:right w:val="single" w:sz="8" w:color="auto"/>
            </w:tcBorders>
          </w:tcPr>
          <w:p>
            <w:pPr>
              <w:ind w:left="120"/>
              <w:spacing w:after="0" w:line="168" w:lineRule="exact"/>
              <w:rPr>
                <w:sz w:val="20"/>
                <w:szCs w:val="20"/>
                <w:color w:val="auto"/>
              </w:rPr>
            </w:pPr>
            <w:r>
              <w:rPr>
                <w:rFonts w:ascii="Arial" w:cs="Arial" w:eastAsia="Arial" w:hAnsi="Arial"/>
                <w:sz w:val="12"/>
                <w:szCs w:val="12"/>
                <w:color w:val="auto"/>
              </w:rPr>
              <w:t>Restricted Stock</w:t>
            </w:r>
            <w:r>
              <w:rPr>
                <w:rFonts w:ascii="Arial" w:cs="Arial" w:eastAsia="Arial" w:hAnsi="Arial"/>
                <w:sz w:val="19"/>
                <w:szCs w:val="19"/>
                <w:color w:val="auto"/>
                <w:vertAlign w:val="superscript"/>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12/10/2012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89"/>
              </w:rPr>
              <w:t>2</w:t>
            </w:r>
          </w:p>
        </w:tc>
      </w:tr>
      <w:tr>
        <w:trPr>
          <w:trHeight w:val="134"/>
        </w:trPr>
        <w:tc>
          <w:tcPr>
            <w:tcW w:w="1740" w:type="dxa"/>
            <w:vAlign w:val="bottom"/>
            <w:tcBorders>
              <w:left w:val="single" w:sz="8" w:color="auto"/>
              <w:right w:val="single" w:sz="8" w:color="auto"/>
            </w:tcBorders>
          </w:tcPr>
          <w:p>
            <w:pPr>
              <w:spacing w:after="0" w:line="134" w:lineRule="exact"/>
              <w:rPr>
                <w:sz w:val="20"/>
                <w:szCs w:val="20"/>
                <w:color w:val="auto"/>
              </w:rPr>
            </w:pPr>
            <w:r>
              <w:rPr>
                <w:rFonts w:ascii="Arial" w:cs="Arial" w:eastAsia="Arial" w:hAnsi="Arial"/>
                <w:sz w:val="12"/>
                <w:szCs w:val="12"/>
                <w:color w:val="auto"/>
              </w:rPr>
              <w:t>Gerald M. Rosberg</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1740" w:type="dxa"/>
            <w:vAlign w:val="bottom"/>
            <w:tcBorders>
              <w:left w:val="single" w:sz="8" w:color="auto"/>
              <w:right w:val="single" w:sz="8" w:color="auto"/>
            </w:tcBorders>
          </w:tcPr>
          <w:p>
            <w:pPr>
              <w:ind w:left="120"/>
              <w:spacing w:after="0" w:line="162" w:lineRule="exact"/>
              <w:rPr>
                <w:sz w:val="20"/>
                <w:szCs w:val="20"/>
                <w:color w:val="auto"/>
              </w:rPr>
            </w:pPr>
            <w:r>
              <w:rPr>
                <w:rFonts w:ascii="Arial" w:cs="Arial" w:eastAsia="Arial" w:hAnsi="Arial"/>
                <w:sz w:val="11"/>
                <w:szCs w:val="11"/>
                <w:color w:val="auto"/>
              </w:rPr>
              <w:t>Annual Incentive</w:t>
            </w:r>
            <w:r>
              <w:rPr>
                <w:rFonts w:ascii="Arial" w:cs="Arial" w:eastAsia="Arial" w:hAnsi="Arial"/>
                <w:sz w:val="18"/>
                <w:szCs w:val="18"/>
                <w:color w:val="auto"/>
                <w:vertAlign w:val="superscript"/>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118,450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236,900</w:t>
            </w:r>
          </w:p>
        </w:tc>
        <w:tc>
          <w:tcPr>
            <w:tcW w:w="800" w:type="dxa"/>
            <w:vAlign w:val="bottom"/>
            <w:tcBorders>
              <w:right w:val="single" w:sz="8" w:color="auto"/>
            </w:tcBorders>
          </w:tcPr>
          <w:p>
            <w:pPr>
              <w:jc w:val="center"/>
              <w:ind w:right="19"/>
              <w:spacing w:after="0"/>
              <w:rPr>
                <w:sz w:val="20"/>
                <w:szCs w:val="20"/>
                <w:color w:val="auto"/>
              </w:rPr>
            </w:pPr>
            <w:r>
              <w:rPr>
                <w:rFonts w:ascii="Arial" w:cs="Arial" w:eastAsia="Arial" w:hAnsi="Arial"/>
                <w:sz w:val="12"/>
                <w:szCs w:val="12"/>
                <w:color w:val="auto"/>
                <w:w w:val="92"/>
              </w:rPr>
              <w:t>414,575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4"/>
                <w:szCs w:val="14"/>
                <w:color w:val="auto"/>
              </w:rPr>
            </w:pPr>
          </w:p>
        </w:tc>
      </w:tr>
      <w:tr>
        <w:trPr>
          <w:trHeight w:val="168"/>
        </w:trPr>
        <w:tc>
          <w:tcPr>
            <w:tcW w:w="1740" w:type="dxa"/>
            <w:vAlign w:val="bottom"/>
            <w:tcBorders>
              <w:left w:val="single" w:sz="8" w:color="auto"/>
              <w:bottom w:val="single" w:sz="8" w:color="auto"/>
              <w:right w:val="single" w:sz="8" w:color="auto"/>
            </w:tcBorders>
          </w:tcPr>
          <w:p>
            <w:pPr>
              <w:ind w:left="120"/>
              <w:spacing w:after="0" w:line="168" w:lineRule="exact"/>
              <w:rPr>
                <w:sz w:val="20"/>
                <w:szCs w:val="20"/>
                <w:color w:val="auto"/>
              </w:rPr>
            </w:pPr>
            <w:r>
              <w:rPr>
                <w:rFonts w:ascii="Arial" w:cs="Arial" w:eastAsia="Arial" w:hAnsi="Arial"/>
                <w:sz w:val="12"/>
                <w:szCs w:val="12"/>
                <w:color w:val="auto"/>
              </w:rPr>
              <w:t>Restricted Stock</w:t>
            </w:r>
            <w:r>
              <w:rPr>
                <w:rFonts w:ascii="Arial" w:cs="Arial" w:eastAsia="Arial" w:hAnsi="Arial"/>
                <w:sz w:val="19"/>
                <w:szCs w:val="19"/>
                <w:color w:val="auto"/>
                <w:vertAlign w:val="superscript"/>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12/10/2012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89"/>
              </w:rPr>
              <w:t>2</w:t>
            </w:r>
          </w:p>
        </w:tc>
      </w:tr>
      <w:tr>
        <w:trPr>
          <w:trHeight w:val="134"/>
        </w:trPr>
        <w:tc>
          <w:tcPr>
            <w:tcW w:w="1740" w:type="dxa"/>
            <w:vAlign w:val="bottom"/>
            <w:tcBorders>
              <w:left w:val="single" w:sz="8" w:color="auto"/>
              <w:right w:val="single" w:sz="8" w:color="auto"/>
            </w:tcBorders>
          </w:tcPr>
          <w:p>
            <w:pPr>
              <w:spacing w:after="0" w:line="134" w:lineRule="exact"/>
              <w:rPr>
                <w:sz w:val="20"/>
                <w:szCs w:val="20"/>
                <w:color w:val="auto"/>
              </w:rPr>
            </w:pPr>
            <w:r>
              <w:rPr>
                <w:rFonts w:ascii="Arial" w:cs="Arial" w:eastAsia="Arial" w:hAnsi="Arial"/>
                <w:sz w:val="12"/>
                <w:szCs w:val="12"/>
                <w:color w:val="auto"/>
              </w:rPr>
              <w:t>Ann L. McDaniel</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1740" w:type="dxa"/>
            <w:vAlign w:val="bottom"/>
            <w:tcBorders>
              <w:left w:val="single" w:sz="8" w:color="auto"/>
              <w:right w:val="single" w:sz="8" w:color="auto"/>
            </w:tcBorders>
          </w:tcPr>
          <w:p>
            <w:pPr>
              <w:ind w:left="120"/>
              <w:spacing w:after="0" w:line="162" w:lineRule="exact"/>
              <w:rPr>
                <w:sz w:val="20"/>
                <w:szCs w:val="20"/>
                <w:color w:val="auto"/>
              </w:rPr>
            </w:pPr>
            <w:r>
              <w:rPr>
                <w:rFonts w:ascii="Arial" w:cs="Arial" w:eastAsia="Arial" w:hAnsi="Arial"/>
                <w:sz w:val="11"/>
                <w:szCs w:val="11"/>
                <w:color w:val="auto"/>
              </w:rPr>
              <w:t>Annual Incentive</w:t>
            </w:r>
            <w:r>
              <w:rPr>
                <w:rFonts w:ascii="Arial" w:cs="Arial" w:eastAsia="Arial" w:hAnsi="Arial"/>
                <w:sz w:val="18"/>
                <w:szCs w:val="18"/>
                <w:color w:val="auto"/>
                <w:vertAlign w:val="superscript"/>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59,225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414,575</w:t>
            </w:r>
          </w:p>
        </w:tc>
        <w:tc>
          <w:tcPr>
            <w:tcW w:w="800" w:type="dxa"/>
            <w:vAlign w:val="bottom"/>
            <w:tcBorders>
              <w:right w:val="single" w:sz="8" w:color="auto"/>
            </w:tcBorders>
          </w:tcPr>
          <w:p>
            <w:pPr>
              <w:jc w:val="center"/>
              <w:ind w:right="19"/>
              <w:spacing w:after="0"/>
              <w:rPr>
                <w:sz w:val="20"/>
                <w:szCs w:val="20"/>
                <w:color w:val="auto"/>
              </w:rPr>
            </w:pPr>
            <w:r>
              <w:rPr>
                <w:rFonts w:ascii="Arial" w:cs="Arial" w:eastAsia="Arial" w:hAnsi="Arial"/>
                <w:sz w:val="12"/>
                <w:szCs w:val="12"/>
                <w:color w:val="auto"/>
                <w:w w:val="92"/>
              </w:rPr>
              <w:t>592,250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4"/>
                <w:szCs w:val="14"/>
                <w:color w:val="auto"/>
              </w:rPr>
            </w:pPr>
          </w:p>
        </w:tc>
      </w:tr>
      <w:tr>
        <w:trPr>
          <w:trHeight w:val="168"/>
        </w:trPr>
        <w:tc>
          <w:tcPr>
            <w:tcW w:w="1740" w:type="dxa"/>
            <w:vAlign w:val="bottom"/>
            <w:tcBorders>
              <w:left w:val="single" w:sz="8" w:color="auto"/>
              <w:bottom w:val="single" w:sz="8" w:color="auto"/>
              <w:right w:val="single" w:sz="8" w:color="auto"/>
            </w:tcBorders>
          </w:tcPr>
          <w:p>
            <w:pPr>
              <w:ind w:left="120"/>
              <w:spacing w:after="0" w:line="168" w:lineRule="exact"/>
              <w:rPr>
                <w:sz w:val="20"/>
                <w:szCs w:val="20"/>
                <w:color w:val="auto"/>
              </w:rPr>
            </w:pPr>
            <w:r>
              <w:rPr>
                <w:rFonts w:ascii="Arial" w:cs="Arial" w:eastAsia="Arial" w:hAnsi="Arial"/>
                <w:sz w:val="12"/>
                <w:szCs w:val="12"/>
                <w:color w:val="auto"/>
              </w:rPr>
              <w:t>Restricted Stock</w:t>
            </w:r>
            <w:r>
              <w:rPr>
                <w:rFonts w:ascii="Arial" w:cs="Arial" w:eastAsia="Arial" w:hAnsi="Arial"/>
                <w:sz w:val="19"/>
                <w:szCs w:val="19"/>
                <w:color w:val="auto"/>
                <w:vertAlign w:val="superscript"/>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12/10/2012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89"/>
              </w:rPr>
              <w:t>2</w:t>
            </w:r>
          </w:p>
        </w:tc>
      </w:tr>
      <w:tr>
        <w:trPr>
          <w:trHeight w:val="134"/>
        </w:trPr>
        <w:tc>
          <w:tcPr>
            <w:tcW w:w="1740" w:type="dxa"/>
            <w:vAlign w:val="bottom"/>
            <w:tcBorders>
              <w:left w:val="single" w:sz="8" w:color="auto"/>
              <w:right w:val="single" w:sz="8" w:color="auto"/>
            </w:tcBorders>
          </w:tcPr>
          <w:p>
            <w:pPr>
              <w:spacing w:after="0" w:line="134" w:lineRule="exact"/>
              <w:rPr>
                <w:sz w:val="20"/>
                <w:szCs w:val="20"/>
                <w:color w:val="auto"/>
              </w:rPr>
            </w:pPr>
            <w:r>
              <w:rPr>
                <w:rFonts w:ascii="Arial" w:cs="Arial" w:eastAsia="Arial" w:hAnsi="Arial"/>
                <w:sz w:val="12"/>
                <w:szCs w:val="12"/>
                <w:color w:val="auto"/>
              </w:rPr>
              <w:t>Veronica Dillon</w:t>
            </w:r>
          </w:p>
        </w:tc>
        <w:tc>
          <w:tcPr>
            <w:tcW w:w="8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1740" w:type="dxa"/>
            <w:vAlign w:val="bottom"/>
            <w:tcBorders>
              <w:left w:val="single" w:sz="8" w:color="auto"/>
              <w:right w:val="single" w:sz="8" w:color="auto"/>
            </w:tcBorders>
          </w:tcPr>
          <w:p>
            <w:pPr>
              <w:ind w:left="120"/>
              <w:spacing w:after="0" w:line="162" w:lineRule="exact"/>
              <w:rPr>
                <w:sz w:val="20"/>
                <w:szCs w:val="20"/>
                <w:color w:val="auto"/>
              </w:rPr>
            </w:pPr>
            <w:r>
              <w:rPr>
                <w:rFonts w:ascii="Arial" w:cs="Arial" w:eastAsia="Arial" w:hAnsi="Arial"/>
                <w:sz w:val="11"/>
                <w:szCs w:val="11"/>
                <w:color w:val="auto"/>
              </w:rPr>
              <w:t>Annual Incentive</w:t>
            </w:r>
            <w:r>
              <w:rPr>
                <w:rFonts w:ascii="Arial" w:cs="Arial" w:eastAsia="Arial" w:hAnsi="Arial"/>
                <w:sz w:val="18"/>
                <w:szCs w:val="18"/>
                <w:color w:val="auto"/>
                <w:vertAlign w:val="superscript"/>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118,450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236,900</w:t>
            </w:r>
          </w:p>
        </w:tc>
        <w:tc>
          <w:tcPr>
            <w:tcW w:w="800" w:type="dxa"/>
            <w:vAlign w:val="bottom"/>
            <w:tcBorders>
              <w:right w:val="single" w:sz="8" w:color="auto"/>
            </w:tcBorders>
          </w:tcPr>
          <w:p>
            <w:pPr>
              <w:jc w:val="center"/>
              <w:ind w:right="19"/>
              <w:spacing w:after="0"/>
              <w:rPr>
                <w:sz w:val="20"/>
                <w:szCs w:val="20"/>
                <w:color w:val="auto"/>
              </w:rPr>
            </w:pPr>
            <w:r>
              <w:rPr>
                <w:rFonts w:ascii="Arial" w:cs="Arial" w:eastAsia="Arial" w:hAnsi="Arial"/>
                <w:sz w:val="12"/>
                <w:szCs w:val="12"/>
                <w:color w:val="auto"/>
                <w:w w:val="92"/>
              </w:rPr>
              <w:t>414,575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4"/>
                <w:szCs w:val="14"/>
                <w:color w:val="auto"/>
              </w:rPr>
            </w:pPr>
          </w:p>
        </w:tc>
        <w:tc>
          <w:tcPr>
            <w:tcW w:w="480" w:type="dxa"/>
            <w:vAlign w:val="bottom"/>
            <w:tcBorders>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4"/>
                <w:szCs w:val="14"/>
                <w:color w:val="auto"/>
              </w:rPr>
            </w:pPr>
          </w:p>
        </w:tc>
      </w:tr>
      <w:tr>
        <w:trPr>
          <w:trHeight w:val="168"/>
        </w:trPr>
        <w:tc>
          <w:tcPr>
            <w:tcW w:w="1740" w:type="dxa"/>
            <w:vAlign w:val="bottom"/>
            <w:tcBorders>
              <w:left w:val="single" w:sz="8" w:color="auto"/>
              <w:bottom w:val="single" w:sz="8" w:color="auto"/>
              <w:right w:val="single" w:sz="8" w:color="auto"/>
            </w:tcBorders>
          </w:tcPr>
          <w:p>
            <w:pPr>
              <w:ind w:left="120"/>
              <w:spacing w:after="0" w:line="168" w:lineRule="exact"/>
              <w:rPr>
                <w:sz w:val="20"/>
                <w:szCs w:val="20"/>
                <w:color w:val="auto"/>
              </w:rPr>
            </w:pPr>
            <w:r>
              <w:rPr>
                <w:rFonts w:ascii="Arial" w:cs="Arial" w:eastAsia="Arial" w:hAnsi="Arial"/>
                <w:sz w:val="12"/>
                <w:szCs w:val="12"/>
                <w:color w:val="auto"/>
              </w:rPr>
              <w:t>Restricted Stock</w:t>
            </w:r>
            <w:r>
              <w:rPr>
                <w:rFonts w:ascii="Arial" w:cs="Arial" w:eastAsia="Arial" w:hAnsi="Arial"/>
                <w:sz w:val="19"/>
                <w:szCs w:val="19"/>
                <w:color w:val="auto"/>
                <w:vertAlign w:val="superscript"/>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12/10/2012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89"/>
              </w:rPr>
              <w:t>2</w:t>
            </w:r>
          </w:p>
        </w:tc>
      </w:tr>
    </w:tbl>
    <w:p>
      <w:pPr>
        <w:spacing w:after="0" w:line="190" w:lineRule="exact"/>
        <w:rPr>
          <w:sz w:val="20"/>
          <w:szCs w:val="20"/>
          <w:color w:val="auto"/>
        </w:rPr>
      </w:pPr>
    </w:p>
    <w:p>
      <w:pPr>
        <w:jc w:val="both"/>
        <w:ind w:left="229" w:hanging="229"/>
        <w:spacing w:after="0" w:line="253" w:lineRule="auto"/>
        <w:tabs>
          <w:tab w:leader="none" w:pos="2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Amounts presented are the threshold, target and maximum payouts under the annual bonus component of the Company’s 2012 Incentive Compensation Plan. The Compensation Committee sets the performance-base for the purpose of the annual incentive awards to be paid for fiscal year 2012. The amount in column (d) represents the minimum payment level, which is 50% of the target. The amount shown in column (f) represents maximum payout level, which is 175% of the target. In the event that the goals set by the Compensation Committee are not attained, no amount would be paid.</w:t>
      </w:r>
    </w:p>
    <w:p>
      <w:pPr>
        <w:spacing w:after="0" w:line="109" w:lineRule="exact"/>
        <w:rPr>
          <w:rFonts w:ascii="Arial" w:cs="Arial" w:eastAsia="Arial" w:hAnsi="Arial"/>
          <w:sz w:val="12"/>
          <w:szCs w:val="12"/>
          <w:color w:val="auto"/>
        </w:rPr>
      </w:pPr>
    </w:p>
    <w:p>
      <w:pPr>
        <w:ind w:left="229" w:hanging="229"/>
        <w:spacing w:after="0" w:line="255" w:lineRule="auto"/>
        <w:tabs>
          <w:tab w:leader="none" w:pos="209"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These grants represent shares of restricted stock. These awards will vest on January 4, 2017, which is slightly longer than the customary four-year restriction period, but consistent with the customary timing of the end Award Cycle. Grant date fair value calculated using the closing price of a share of the Company’s Class B Common Stock as of December 7, 2012 ($372.13).</w:t>
      </w:r>
    </w:p>
    <w:p>
      <w:pPr>
        <w:spacing w:after="0" w:line="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843" w:right="139" w:bottom="1440" w:gutter="0" w:footer="0" w:header="0"/>
        </w:sectPr>
      </w:pPr>
    </w:p>
    <w:bookmarkStart w:id="27" w:name="page28"/>
    <w:bookmarkEnd w:id="27"/>
    <w:p>
      <w:pPr>
        <w:jc w:val="center"/>
        <w:ind w:left="1160"/>
        <w:spacing w:after="0"/>
        <w:rPr>
          <w:sz w:val="20"/>
          <w:szCs w:val="20"/>
          <w:color w:val="auto"/>
        </w:rPr>
      </w:pPr>
      <w:r>
        <w:rPr>
          <w:rFonts w:ascii="Arial" w:cs="Arial" w:eastAsia="Arial" w:hAnsi="Arial"/>
          <w:sz w:val="17"/>
          <w:szCs w:val="17"/>
          <w:b w:val="1"/>
          <w:bCs w:val="1"/>
          <w:color w:val="auto"/>
        </w:rPr>
        <w:t>NARRATIVE DISCLOSURE TO SUMMARY COMPENSATION TABLE AND</w:t>
      </w:r>
    </w:p>
    <w:p>
      <w:pPr>
        <w:spacing w:after="0" w:line="18"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GRANTS OF PLAN-BASED AWARDS TABLE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describes material features of the compensation disclosed in the Summary Compensation Table and the Grants of Plan-Based Awards Table.</w:t>
      </w:r>
    </w:p>
    <w:p>
      <w:pPr>
        <w:spacing w:after="0" w:line="232" w:lineRule="exact"/>
        <w:rPr>
          <w:sz w:val="20"/>
          <w:szCs w:val="20"/>
          <w:color w:val="auto"/>
        </w:rPr>
      </w:pPr>
    </w:p>
    <w:p>
      <w:pPr>
        <w:ind w:firstLine="709"/>
        <w:spacing w:after="0" w:line="265" w:lineRule="auto"/>
        <w:rPr>
          <w:sz w:val="20"/>
          <w:szCs w:val="20"/>
          <w:color w:val="auto"/>
        </w:rPr>
      </w:pPr>
      <w:r>
        <w:rPr>
          <w:rFonts w:ascii="Arial" w:cs="Arial" w:eastAsia="Arial" w:hAnsi="Arial"/>
          <w:sz w:val="17"/>
          <w:szCs w:val="17"/>
          <w:b w:val="1"/>
          <w:bCs w:val="1"/>
          <w:color w:val="auto"/>
        </w:rPr>
        <w:t xml:space="preserve">Employment Agreements. </w:t>
      </w:r>
      <w:r>
        <w:rPr>
          <w:rFonts w:ascii="Arial" w:cs="Arial" w:eastAsia="Arial" w:hAnsi="Arial"/>
          <w:sz w:val="17"/>
          <w:szCs w:val="17"/>
          <w:color w:val="auto"/>
        </w:rPr>
        <w:t>Consistent with its policy, the Company has not entered into any employment agreements with, or guaranteed severance packa</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named executive officers.</w:t>
      </w:r>
    </w:p>
    <w:p>
      <w:pPr>
        <w:spacing w:after="0" w:line="164" w:lineRule="exact"/>
        <w:rPr>
          <w:sz w:val="20"/>
          <w:szCs w:val="20"/>
          <w:color w:val="auto"/>
        </w:rPr>
      </w:pPr>
    </w:p>
    <w:p>
      <w:pPr>
        <w:ind w:firstLine="709"/>
        <w:spacing w:after="0" w:line="265" w:lineRule="auto"/>
        <w:rPr>
          <w:sz w:val="20"/>
          <w:szCs w:val="20"/>
          <w:color w:val="auto"/>
        </w:rPr>
      </w:pPr>
      <w:r>
        <w:rPr>
          <w:rFonts w:ascii="Arial" w:cs="Arial" w:eastAsia="Arial" w:hAnsi="Arial"/>
          <w:sz w:val="17"/>
          <w:szCs w:val="17"/>
          <w:b w:val="1"/>
          <w:bCs w:val="1"/>
          <w:color w:val="auto"/>
        </w:rPr>
        <w:t xml:space="preserve">Annual Bonus/Incentive. </w:t>
      </w:r>
      <w:r>
        <w:rPr>
          <w:rFonts w:ascii="Arial" w:cs="Arial" w:eastAsia="Arial" w:hAnsi="Arial"/>
          <w:sz w:val="17"/>
          <w:szCs w:val="17"/>
          <w:color w:val="auto"/>
        </w:rPr>
        <w:t>Both tables show the annual bonus component under the Company’s 2012 Incentive Compensation Plan. See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Discussion and Analysis for further details on the annual bonuses.</w:t>
      </w:r>
    </w:p>
    <w:p>
      <w:pPr>
        <w:spacing w:after="0" w:line="164" w:lineRule="exact"/>
        <w:rPr>
          <w:sz w:val="20"/>
          <w:szCs w:val="20"/>
          <w:color w:val="auto"/>
        </w:rPr>
      </w:pPr>
    </w:p>
    <w:p>
      <w:pPr>
        <w:jc w:val="both"/>
        <w:ind w:right="20" w:firstLine="709"/>
        <w:spacing w:after="0" w:line="254"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The Summary Compensation Table reflects the fair value of the restricted stock awards made in 2010, 2011 and 2012 on the date of gra</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Additionally, the Grants of Plan-Based Awards Table reflects the number of restricted shares granted in 2012 and the fair value of the awards on the date of grant. Re Stock generally vests four years from the date of grant, subject to continued employment.</w:t>
      </w:r>
    </w:p>
    <w:p>
      <w:pPr>
        <w:spacing w:after="0" w:line="174" w:lineRule="exact"/>
        <w:rPr>
          <w:sz w:val="20"/>
          <w:szCs w:val="20"/>
          <w:color w:val="auto"/>
        </w:rPr>
      </w:pPr>
    </w:p>
    <w:p>
      <w:pPr>
        <w:jc w:val="both"/>
        <w:ind w:firstLine="709"/>
        <w:spacing w:after="0" w:line="254" w:lineRule="auto"/>
        <w:rPr>
          <w:sz w:val="20"/>
          <w:szCs w:val="20"/>
          <w:color w:val="auto"/>
        </w:rPr>
      </w:pPr>
      <w:r>
        <w:rPr>
          <w:rFonts w:ascii="Arial" w:cs="Arial" w:eastAsia="Arial" w:hAnsi="Arial"/>
          <w:sz w:val="17"/>
          <w:szCs w:val="17"/>
          <w:b w:val="1"/>
          <w:bCs w:val="1"/>
          <w:color w:val="auto"/>
        </w:rPr>
        <w:t xml:space="preserve">Performance Units. </w:t>
      </w:r>
      <w:r>
        <w:rPr>
          <w:rFonts w:ascii="Arial" w:cs="Arial" w:eastAsia="Arial" w:hAnsi="Arial"/>
          <w:sz w:val="17"/>
          <w:szCs w:val="17"/>
          <w:color w:val="auto"/>
        </w:rPr>
        <w:t>The Summary Compensation Table includes amounts earned for Performance Units granted under the 2007–2010 and 2009</w:t>
      </w:r>
      <w:r>
        <w:rPr>
          <w:rFonts w:ascii="Arial" w:cs="Arial" w:eastAsia="Arial" w:hAnsi="Arial"/>
          <w:sz w:val="12"/>
          <w:szCs w:val="12"/>
          <w:color w:val="auto"/>
        </w:rPr>
        <w:t>–</w:t>
      </w:r>
      <w:r>
        <w:rPr>
          <w:rFonts w:ascii="Arial" w:cs="Arial" w:eastAsia="Arial" w:hAnsi="Arial"/>
          <w:sz w:val="17"/>
          <w:szCs w:val="17"/>
          <w:color w:val="auto"/>
        </w:rPr>
        <w:t>2012 aw</w:t>
      </w:r>
      <w:r>
        <w:rPr>
          <w:rFonts w:ascii="Arial" w:cs="Arial" w:eastAsia="Arial" w:hAnsi="Arial"/>
          <w:sz w:val="17"/>
          <w:szCs w:val="17"/>
          <w:b w:val="1"/>
          <w:bCs w:val="1"/>
          <w:color w:val="auto"/>
        </w:rPr>
        <w:t xml:space="preserve"> </w:t>
      </w:r>
      <w:r>
        <w:rPr>
          <w:rFonts w:ascii="Arial" w:cs="Arial" w:eastAsia="Arial" w:hAnsi="Arial"/>
          <w:sz w:val="17"/>
          <w:szCs w:val="17"/>
          <w:color w:val="auto"/>
        </w:rPr>
        <w:t>cycles. The Compensation Committee sets the performance-based goals for the grants at the beginning of each four-year award cycle. See the Compensation Discuss and Analysis for further details on Performance Units.</w:t>
      </w:r>
    </w:p>
    <w:p>
      <w:pPr>
        <w:spacing w:after="0" w:line="174" w:lineRule="exact"/>
        <w:rPr>
          <w:sz w:val="20"/>
          <w:szCs w:val="20"/>
          <w:color w:val="auto"/>
        </w:rPr>
      </w:pPr>
    </w:p>
    <w:p>
      <w:pPr>
        <w:jc w:val="both"/>
        <w:ind w:firstLine="709"/>
        <w:spacing w:after="0" w:line="251"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value of the stock option awards shown in the Summary Compensation Table represents options granted under the Company’s Stock</w:t>
      </w:r>
      <w:r>
        <w:rPr>
          <w:rFonts w:ascii="Arial" w:cs="Arial" w:eastAsia="Arial" w:hAnsi="Arial"/>
          <w:sz w:val="17"/>
          <w:szCs w:val="17"/>
          <w:b w:val="1"/>
          <w:bCs w:val="1"/>
          <w:color w:val="auto"/>
        </w:rPr>
        <w:t xml:space="preserve"> </w:t>
      </w:r>
      <w:r>
        <w:rPr>
          <w:rFonts w:ascii="Arial" w:cs="Arial" w:eastAsia="Arial" w:hAnsi="Arial"/>
          <w:sz w:val="17"/>
          <w:szCs w:val="17"/>
          <w:color w:val="auto"/>
        </w:rPr>
        <w:t>Plan. The options vest 25% per year over a four-year period from the date of grant and are exercisable for ten years from the date of grant. The Grants of Plan-Based Awards Table reflects the number of options granted under the Plan in 2012 and the fair value of the awards on the date of grant. There were no stock options granted named executive officers in 2012.</w:t>
      </w:r>
    </w:p>
    <w:p>
      <w:pPr>
        <w:spacing w:after="0" w:line="179" w:lineRule="exact"/>
        <w:rPr>
          <w:sz w:val="20"/>
          <w:szCs w:val="20"/>
          <w:color w:val="auto"/>
        </w:rPr>
      </w:pPr>
    </w:p>
    <w:p>
      <w:pPr>
        <w:jc w:val="both"/>
        <w:ind w:right="20" w:firstLine="709"/>
        <w:spacing w:after="0" w:line="260" w:lineRule="auto"/>
        <w:rPr>
          <w:sz w:val="20"/>
          <w:szCs w:val="20"/>
          <w:color w:val="auto"/>
        </w:rPr>
      </w:pPr>
      <w:r>
        <w:rPr>
          <w:rFonts w:ascii="Arial" w:cs="Arial" w:eastAsia="Arial" w:hAnsi="Arial"/>
          <w:sz w:val="17"/>
          <w:szCs w:val="17"/>
          <w:color w:val="auto"/>
        </w:rPr>
        <w:t>The following table shows the number of shares covered by exercisable and unexercisable options and unvested restricted stock held by the Company’s na executive officers on December 31, 2012.</w:t>
      </w:r>
    </w:p>
    <w:p>
      <w:pPr>
        <w:spacing w:after="0" w:line="16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640"/>
              <w:spacing w:after="0" w:line="211" w:lineRule="exact"/>
              <w:rPr>
                <w:sz w:val="20"/>
                <w:szCs w:val="20"/>
                <w:color w:val="auto"/>
              </w:rPr>
            </w:pPr>
            <w:r>
              <w:rPr>
                <w:rFonts w:ascii="Arial" w:cs="Arial" w:eastAsia="Arial" w:hAnsi="Arial"/>
                <w:sz w:val="12"/>
                <w:szCs w:val="12"/>
                <w:b w:val="1"/>
                <w:bCs w:val="1"/>
                <w:color w:val="auto"/>
                <w:w w:val="90"/>
              </w:rPr>
              <w:t>Option Awards</w:t>
            </w:r>
            <w:r>
              <w:rPr>
                <w:rFonts w:ascii="Arial" w:cs="Arial" w:eastAsia="Arial" w:hAnsi="Arial"/>
                <w:sz w:val="19"/>
                <w:szCs w:val="19"/>
                <w:b w:val="1"/>
                <w:bCs w:val="1"/>
                <w:color w:val="auto"/>
                <w:w w:val="90"/>
                <w:vertAlign w:val="superscript"/>
              </w:rPr>
              <w:t>1</w:t>
            </w:r>
          </w:p>
        </w:tc>
        <w:tc>
          <w:tcPr>
            <w:tcW w:w="10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right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2"/>
          </w:tcPr>
          <w:p>
            <w:pPr>
              <w:ind w:left="760"/>
              <w:spacing w:after="0" w:line="211" w:lineRule="exact"/>
              <w:rPr>
                <w:sz w:val="20"/>
                <w:szCs w:val="20"/>
                <w:color w:val="auto"/>
              </w:rPr>
            </w:pPr>
            <w:r>
              <w:rPr>
                <w:rFonts w:ascii="Arial" w:cs="Arial" w:eastAsia="Arial" w:hAnsi="Arial"/>
                <w:sz w:val="12"/>
                <w:szCs w:val="12"/>
                <w:b w:val="1"/>
                <w:bCs w:val="1"/>
                <w:color w:val="auto"/>
              </w:rPr>
              <w:t>Stock Awards</w:t>
            </w:r>
            <w:r>
              <w:rPr>
                <w:rFonts w:ascii="Arial" w:cs="Arial" w:eastAsia="Arial" w:hAnsi="Arial"/>
                <w:sz w:val="19"/>
                <w:szCs w:val="19"/>
                <w:b w:val="1"/>
                <w:bCs w:val="1"/>
                <w:color w:val="auto"/>
                <w:vertAlign w:val="superscript"/>
              </w:rPr>
              <w:t>2</w:t>
            </w:r>
          </w:p>
        </w:tc>
        <w:tc>
          <w:tcPr>
            <w:tcW w:w="660" w:type="dxa"/>
            <w:vAlign w:val="bottom"/>
            <w:tcBorders>
              <w:top w:val="single" w:sz="8" w:color="auto"/>
              <w:bottom w:val="single" w:sz="8" w:color="auto"/>
            </w:tcBorders>
          </w:tcPr>
          <w:p>
            <w:pPr>
              <w:spacing w:after="0"/>
              <w:rPr>
                <w:sz w:val="18"/>
                <w:szCs w:val="18"/>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Equit</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Equity</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Incent</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Equity</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Incentive</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Plan Aw</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1"/>
              </w:rPr>
              <w:t>Incentive Plan</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Plan Awards:</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Marke</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8"/>
              </w:rPr>
              <w:t>Awards:</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Market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Number</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Payout V</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Number of</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Value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of Unearned</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of Unea</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Securities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Securities</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3"/>
              </w:rPr>
              <w:t>Securities</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Number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Shares or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Shares, Units</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Underlying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Underlying</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Underlying</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of Shares or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Units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 Other</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or Oth</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Unexercised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Unexercised</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4"/>
              </w:rPr>
              <w:t>Unexercised</w:t>
            </w:r>
          </w:p>
        </w:tc>
        <w:tc>
          <w:tcPr>
            <w:tcW w:w="920" w:type="dxa"/>
            <w:vAlign w:val="bottom"/>
            <w:tcBorders>
              <w:right w:val="single" w:sz="8" w:color="auto"/>
            </w:tcBorders>
          </w:tcPr>
          <w:p>
            <w:pPr>
              <w:ind w:left="280"/>
              <w:spacing w:after="0"/>
              <w:rPr>
                <w:sz w:val="20"/>
                <w:szCs w:val="20"/>
                <w:color w:val="auto"/>
              </w:rPr>
            </w:pPr>
            <w:r>
              <w:rPr>
                <w:rFonts w:ascii="Arial" w:cs="Arial" w:eastAsia="Arial" w:hAnsi="Arial"/>
                <w:sz w:val="12"/>
                <w:szCs w:val="12"/>
                <w:b w:val="1"/>
                <w:bCs w:val="1"/>
                <w:color w:val="auto"/>
              </w:rPr>
              <w:t>Option</w:t>
            </w:r>
          </w:p>
        </w:tc>
        <w:tc>
          <w:tcPr>
            <w:tcW w:w="9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Units of Stock</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 That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Rights That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Rights T</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Options: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Options:</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6"/>
              </w:rPr>
              <w:t>Unearned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Exercise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Option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That Have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Have Not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Have Not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Have N</w:t>
            </w:r>
          </w:p>
        </w:tc>
      </w:tr>
      <w:tr>
        <w:trPr>
          <w:trHeight w:val="174"/>
        </w:trPr>
        <w:tc>
          <w:tcPr>
            <w:tcW w:w="1280" w:type="dxa"/>
            <w:vAlign w:val="bottom"/>
            <w:tcBorders>
              <w:left w:val="single" w:sz="8" w:color="auto"/>
              <w:right w:val="single" w:sz="8" w:color="auto"/>
            </w:tcBorders>
          </w:tcPr>
          <w:p>
            <w:pPr>
              <w:spacing w:after="0"/>
              <w:rPr>
                <w:sz w:val="15"/>
                <w:szCs w:val="15"/>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Exercisable (#)</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Unexercisable (#)</w:t>
            </w:r>
          </w:p>
        </w:tc>
        <w:tc>
          <w:tcPr>
            <w:tcW w:w="140" w:type="dxa"/>
            <w:vAlign w:val="bottom"/>
          </w:tcPr>
          <w:p>
            <w:pPr>
              <w:spacing w:after="0"/>
              <w:rPr>
                <w:sz w:val="15"/>
                <w:szCs w:val="15"/>
                <w:color w:val="auto"/>
              </w:rPr>
            </w:pPr>
          </w:p>
        </w:tc>
        <w:tc>
          <w:tcPr>
            <w:tcW w:w="1000" w:type="dxa"/>
            <w:vAlign w:val="bottom"/>
            <w:tcBorders>
              <w:right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8"/>
              </w:rPr>
              <w:t>Options (#)</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Price ($)</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Not Vested (#)</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Vested ($)</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Vested (#)</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Vested</w:t>
            </w:r>
          </w:p>
        </w:tc>
      </w:tr>
      <w:tr>
        <w:trPr>
          <w:trHeight w:val="177"/>
        </w:trPr>
        <w:tc>
          <w:tcPr>
            <w:tcW w:w="1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2"/>
                <w:szCs w:val="12"/>
                <w:b w:val="1"/>
                <w:bCs w:val="1"/>
                <w:color w:val="auto"/>
              </w:rPr>
              <w:t>Name (a)</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1"/>
              </w:rPr>
              <w:t>(d)</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Date (f)</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77"/>
              </w:rPr>
              <w:t>(g)</w:t>
            </w:r>
          </w:p>
        </w:tc>
        <w:tc>
          <w:tcPr>
            <w:tcW w:w="1140" w:type="dxa"/>
            <w:vAlign w:val="bottom"/>
            <w:tcBorders>
              <w:bottom w:val="single" w:sz="8" w:color="auto"/>
              <w:right w:val="single" w:sz="8" w:color="auto"/>
            </w:tcBorders>
          </w:tcPr>
          <w:p>
            <w:pPr>
              <w:jc w:val="center"/>
              <w:spacing w:after="0" w:line="177" w:lineRule="exact"/>
              <w:rPr>
                <w:sz w:val="20"/>
                <w:szCs w:val="20"/>
                <w:color w:val="auto"/>
              </w:rPr>
            </w:pPr>
            <w:r>
              <w:rPr>
                <w:rFonts w:ascii="Arial" w:cs="Arial" w:eastAsia="Arial" w:hAnsi="Arial"/>
                <w:sz w:val="12"/>
                <w:szCs w:val="12"/>
                <w:b w:val="1"/>
                <w:bCs w:val="1"/>
                <w:color w:val="auto"/>
                <w:w w:val="80"/>
              </w:rPr>
              <w:t>(h)</w:t>
            </w:r>
            <w:r>
              <w:rPr>
                <w:rFonts w:ascii="Arial" w:cs="Arial" w:eastAsia="Arial" w:hAnsi="Arial"/>
                <w:sz w:val="19"/>
                <w:szCs w:val="19"/>
                <w:b w:val="1"/>
                <w:bCs w:val="1"/>
                <w:color w:val="auto"/>
                <w:w w:val="80"/>
                <w:vertAlign w:val="superscript"/>
              </w:rPr>
              <w:t>3</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w:t>
            </w:r>
          </w:p>
        </w:tc>
      </w:tr>
      <w:tr>
        <w:trPr>
          <w:trHeight w:val="129"/>
        </w:trPr>
        <w:tc>
          <w:tcPr>
            <w:tcW w:w="12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Donald E. Graham</w:t>
            </w:r>
          </w:p>
        </w:tc>
        <w:tc>
          <w:tcPr>
            <w:tcW w:w="12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right w:val="single" w:sz="8" w:color="auto"/>
            </w:tcBorders>
          </w:tcPr>
          <w:p>
            <w:pPr>
              <w:jc w:val="right"/>
              <w:ind w:right="560"/>
              <w:spacing w:after="0" w:line="129"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jc w:val="center"/>
              <w:ind w:right="80"/>
              <w:spacing w:after="0" w:line="129"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20"/>
        </w:trPr>
        <w:tc>
          <w:tcPr>
            <w:tcW w:w="1280" w:type="dxa"/>
            <w:vAlign w:val="bottom"/>
            <w:tcBorders>
              <w:left w:val="single" w:sz="8" w:color="auto"/>
              <w:right w:val="single" w:sz="8" w:color="auto"/>
            </w:tcBorders>
          </w:tcPr>
          <w:p>
            <w:pPr>
              <w:spacing w:after="0" w:line="120" w:lineRule="exact"/>
              <w:rPr>
                <w:sz w:val="20"/>
                <w:szCs w:val="20"/>
                <w:color w:val="auto"/>
              </w:rPr>
            </w:pPr>
            <w:r>
              <w:rPr>
                <w:rFonts w:ascii="Arial" w:cs="Arial" w:eastAsia="Arial" w:hAnsi="Arial"/>
                <w:sz w:val="12"/>
                <w:szCs w:val="12"/>
                <w:color w:val="auto"/>
              </w:rPr>
              <w:t>Hal S. Jones</w:t>
            </w:r>
          </w:p>
        </w:tc>
        <w:tc>
          <w:tcPr>
            <w:tcW w:w="12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93"/>
              </w:rPr>
              <w:t>2,000</w:t>
            </w:r>
          </w:p>
        </w:tc>
        <w:tc>
          <w:tcPr>
            <w:tcW w:w="1360" w:type="dxa"/>
            <w:vAlign w:val="bottom"/>
            <w:tcBorders>
              <w:right w:val="single" w:sz="8" w:color="auto"/>
            </w:tcBorders>
          </w:tcPr>
          <w:p>
            <w:pPr>
              <w:jc w:val="right"/>
              <w:ind w:right="560"/>
              <w:spacing w:after="0" w:line="120"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0" w:type="dxa"/>
            <w:vAlign w:val="bottom"/>
            <w:tcBorders>
              <w:right w:val="single" w:sz="8" w:color="auto"/>
            </w:tcBorders>
          </w:tcPr>
          <w:p>
            <w:pPr>
              <w:jc w:val="center"/>
              <w:ind w:right="80"/>
              <w:spacing w:after="0" w:line="120" w:lineRule="exact"/>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92"/>
              </w:rPr>
              <w:t>651.91</w:t>
            </w:r>
          </w:p>
        </w:tc>
        <w:tc>
          <w:tcPr>
            <w:tcW w:w="90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93"/>
              </w:rPr>
              <w:t>05/12/2018</w:t>
            </w:r>
          </w:p>
        </w:tc>
        <w:tc>
          <w:tcPr>
            <w:tcW w:w="1140" w:type="dxa"/>
            <w:vAlign w:val="bottom"/>
            <w:tcBorders>
              <w:right w:val="single" w:sz="8" w:color="auto"/>
            </w:tcBorders>
          </w:tcPr>
          <w:p>
            <w:pPr>
              <w:jc w:val="right"/>
              <w:ind w:right="400"/>
              <w:spacing w:after="0" w:line="120" w:lineRule="exact"/>
              <w:rPr>
                <w:sz w:val="20"/>
                <w:szCs w:val="20"/>
                <w:color w:val="auto"/>
              </w:rPr>
            </w:pPr>
            <w:r>
              <w:rPr>
                <w:rFonts w:ascii="Arial" w:cs="Arial" w:eastAsia="Arial" w:hAnsi="Arial"/>
                <w:sz w:val="12"/>
                <w:szCs w:val="12"/>
                <w:color w:val="auto"/>
              </w:rPr>
              <w:t>2,000</w:t>
            </w:r>
          </w:p>
        </w:tc>
        <w:tc>
          <w:tcPr>
            <w:tcW w:w="11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92"/>
              </w:rPr>
              <w:t>730,420</w:t>
            </w:r>
          </w:p>
        </w:tc>
        <w:tc>
          <w:tcPr>
            <w:tcW w:w="11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r>
      <w:tr>
        <w:trPr>
          <w:trHeight w:val="137"/>
        </w:trPr>
        <w:tc>
          <w:tcPr>
            <w:tcW w:w="128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93"/>
              </w:rPr>
              <w:t>1,000</w:t>
            </w:r>
          </w:p>
        </w:tc>
        <w:tc>
          <w:tcPr>
            <w:tcW w:w="1360" w:type="dxa"/>
            <w:vAlign w:val="bottom"/>
            <w:tcBorders>
              <w:right w:val="single" w:sz="8" w:color="auto"/>
            </w:tcBorders>
          </w:tcPr>
          <w:p>
            <w:pPr>
              <w:jc w:val="right"/>
              <w:ind w:right="56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tcBorders>
              <w:right w:val="single" w:sz="8" w:color="auto"/>
            </w:tcBorders>
          </w:tcPr>
          <w:p>
            <w:pPr>
              <w:jc w:val="center"/>
              <w:ind w:right="80"/>
              <w:spacing w:after="0" w:line="137" w:lineRule="exact"/>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92"/>
              </w:rPr>
              <w:t>368.56</w:t>
            </w:r>
          </w:p>
        </w:tc>
        <w:tc>
          <w:tcPr>
            <w:tcW w:w="9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93"/>
              </w:rPr>
              <w:t>12/15/2018</w:t>
            </w:r>
          </w:p>
        </w:tc>
        <w:tc>
          <w:tcPr>
            <w:tcW w:w="11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89"/>
              </w:rPr>
              <w:t>–</w:t>
            </w:r>
          </w:p>
        </w:tc>
        <w:tc>
          <w:tcPr>
            <w:tcW w:w="11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r>
      <w:tr>
        <w:trPr>
          <w:trHeight w:val="145"/>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500</w:t>
            </w:r>
          </w:p>
        </w:tc>
        <w:tc>
          <w:tcPr>
            <w:tcW w:w="1360" w:type="dxa"/>
            <w:vAlign w:val="bottom"/>
            <w:tcBorders>
              <w:bottom w:val="single" w:sz="8" w:color="auto"/>
              <w:right w:val="single" w:sz="8" w:color="auto"/>
            </w:tcBorders>
          </w:tcPr>
          <w:p>
            <w:pPr>
              <w:jc w:val="right"/>
              <w:ind w:right="560"/>
              <w:spacing w:after="0"/>
              <w:rPr>
                <w:sz w:val="20"/>
                <w:szCs w:val="20"/>
                <w:color w:val="auto"/>
              </w:rPr>
            </w:pPr>
            <w:r>
              <w:rPr>
                <w:rFonts w:ascii="Arial" w:cs="Arial" w:eastAsia="Arial" w:hAnsi="Arial"/>
                <w:sz w:val="12"/>
                <w:szCs w:val="12"/>
                <w:color w:val="auto"/>
              </w:rPr>
              <w:t>500</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395.67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12/07/2020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2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Gerald M. Rosberg</w:t>
            </w:r>
          </w:p>
        </w:tc>
        <w:tc>
          <w:tcPr>
            <w:tcW w:w="12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3"/>
              </w:rPr>
              <w:t>1,000</w:t>
            </w:r>
          </w:p>
        </w:tc>
        <w:tc>
          <w:tcPr>
            <w:tcW w:w="13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jc w:val="center"/>
              <w:ind w:right="80"/>
              <w:spacing w:after="0" w:line="129"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368.56</w:t>
            </w:r>
          </w:p>
        </w:tc>
        <w:tc>
          <w:tcPr>
            <w:tcW w:w="9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3"/>
              </w:rPr>
              <w:t>12/15/2018</w:t>
            </w:r>
          </w:p>
        </w:tc>
        <w:tc>
          <w:tcPr>
            <w:tcW w:w="1140" w:type="dxa"/>
            <w:vAlign w:val="bottom"/>
            <w:tcBorders>
              <w:bottom w:val="single" w:sz="8" w:color="auto"/>
              <w:right w:val="single" w:sz="8" w:color="auto"/>
            </w:tcBorders>
          </w:tcPr>
          <w:p>
            <w:pPr>
              <w:jc w:val="right"/>
              <w:ind w:right="400"/>
              <w:spacing w:after="0" w:line="129" w:lineRule="exact"/>
              <w:rPr>
                <w:sz w:val="20"/>
                <w:szCs w:val="20"/>
                <w:color w:val="auto"/>
              </w:rPr>
            </w:pPr>
            <w:r>
              <w:rPr>
                <w:rFonts w:ascii="Arial" w:cs="Arial" w:eastAsia="Arial" w:hAnsi="Arial"/>
                <w:sz w:val="12"/>
                <w:szCs w:val="12"/>
                <w:color w:val="auto"/>
              </w:rPr>
              <w:t>2,000</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730,420</w:t>
            </w:r>
          </w:p>
        </w:tc>
        <w:tc>
          <w:tcPr>
            <w:tcW w:w="11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45"/>
        </w:trPr>
        <w:tc>
          <w:tcPr>
            <w:tcW w:w="12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Ann L. McDaniel</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2"/>
                <w:szCs w:val="12"/>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816.05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12/02/2013</w:t>
            </w:r>
          </w:p>
        </w:tc>
        <w:tc>
          <w:tcPr>
            <w:tcW w:w="1140" w:type="dxa"/>
            <w:vAlign w:val="bottom"/>
            <w:tcBorders>
              <w:right w:val="single" w:sz="8" w:color="auto"/>
            </w:tcBorders>
          </w:tcPr>
          <w:p>
            <w:pPr>
              <w:jc w:val="right"/>
              <w:ind w:right="400"/>
              <w:spacing w:after="0"/>
              <w:rPr>
                <w:sz w:val="20"/>
                <w:szCs w:val="20"/>
                <w:color w:val="auto"/>
              </w:rPr>
            </w:pPr>
            <w:r>
              <w:rPr>
                <w:rFonts w:ascii="Arial" w:cs="Arial" w:eastAsia="Arial" w:hAnsi="Arial"/>
                <w:sz w:val="12"/>
                <w:szCs w:val="12"/>
                <w:color w:val="auto"/>
              </w:rPr>
              <w:t>2,000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730,420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128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3"/>
                <w:szCs w:val="13"/>
                <w:color w:val="auto"/>
              </w:rPr>
            </w:pPr>
          </w:p>
        </w:tc>
        <w:tc>
          <w:tcPr>
            <w:tcW w:w="100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953.50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12/13/2014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368.56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12/15/2018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1280" w:type="dxa"/>
            <w:vAlign w:val="bottom"/>
            <w:tcBorders>
              <w:left w:val="single" w:sz="8" w:color="auto"/>
              <w:bottom w:val="single" w:sz="8" w:color="auto"/>
              <w:right w:val="single" w:sz="8" w:color="auto"/>
            </w:tcBorders>
          </w:tcPr>
          <w:p>
            <w:pPr>
              <w:spacing w:after="0" w:line="136" w:lineRule="exact"/>
              <w:rPr>
                <w:sz w:val="20"/>
                <w:szCs w:val="20"/>
                <w:color w:val="auto"/>
              </w:rPr>
            </w:pPr>
            <w:r>
              <w:rPr>
                <w:rFonts w:ascii="Arial" w:cs="Arial" w:eastAsia="Arial" w:hAnsi="Arial"/>
                <w:sz w:val="12"/>
                <w:szCs w:val="12"/>
                <w:color w:val="auto"/>
              </w:rPr>
              <w:t>Veronica Dillon</w:t>
            </w:r>
          </w:p>
        </w:tc>
        <w:tc>
          <w:tcPr>
            <w:tcW w:w="126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1,000</w:t>
            </w:r>
          </w:p>
        </w:tc>
        <w:tc>
          <w:tcPr>
            <w:tcW w:w="136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2"/>
              </w:rPr>
              <w:t>368.56</w:t>
            </w:r>
          </w:p>
        </w:tc>
        <w:tc>
          <w:tcPr>
            <w:tcW w:w="90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3"/>
              </w:rPr>
              <w:t>12/15/2018</w:t>
            </w:r>
          </w:p>
        </w:tc>
        <w:tc>
          <w:tcPr>
            <w:tcW w:w="1140" w:type="dxa"/>
            <w:vAlign w:val="bottom"/>
            <w:tcBorders>
              <w:bottom w:val="single" w:sz="8" w:color="auto"/>
              <w:right w:val="single" w:sz="8" w:color="auto"/>
            </w:tcBorders>
          </w:tcPr>
          <w:p>
            <w:pPr>
              <w:jc w:val="right"/>
              <w:ind w:right="400"/>
              <w:spacing w:after="0" w:line="136" w:lineRule="exact"/>
              <w:rPr>
                <w:sz w:val="20"/>
                <w:szCs w:val="20"/>
                <w:color w:val="auto"/>
              </w:rPr>
            </w:pPr>
            <w:r>
              <w:rPr>
                <w:rFonts w:ascii="Arial" w:cs="Arial" w:eastAsia="Arial" w:hAnsi="Arial"/>
                <w:sz w:val="12"/>
                <w:szCs w:val="12"/>
                <w:color w:val="auto"/>
              </w:rPr>
              <w:t>2,000</w:t>
            </w:r>
          </w:p>
        </w:tc>
        <w:tc>
          <w:tcPr>
            <w:tcW w:w="114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2"/>
              </w:rPr>
              <w:t>730,420</w:t>
            </w:r>
          </w:p>
        </w:tc>
        <w:tc>
          <w:tcPr>
            <w:tcW w:w="114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r>
    </w:tbl>
    <w:p>
      <w:pPr>
        <w:spacing w:after="0" w:line="190" w:lineRule="exact"/>
        <w:rPr>
          <w:sz w:val="20"/>
          <w:szCs w:val="20"/>
          <w:color w:val="auto"/>
        </w:rPr>
      </w:pPr>
    </w:p>
    <w:p>
      <w:pPr>
        <w:ind w:left="580" w:right="20" w:hanging="291"/>
        <w:spacing w:after="0" w:line="269" w:lineRule="auto"/>
        <w:tabs>
          <w:tab w:leader="none" w:pos="629" w:val="left"/>
        </w:tabs>
        <w:numPr>
          <w:ilvl w:val="0"/>
          <w:numId w:val="31"/>
        </w:numPr>
        <w:rPr>
          <w:rFonts w:ascii="Arial" w:cs="Arial" w:eastAsia="Arial" w:hAnsi="Arial"/>
          <w:sz w:val="12"/>
          <w:szCs w:val="12"/>
          <w:color w:val="auto"/>
        </w:rPr>
      </w:pPr>
      <w:r>
        <w:rPr>
          <w:rFonts w:ascii="Arial" w:cs="Arial" w:eastAsia="Arial" w:hAnsi="Arial"/>
          <w:sz w:val="12"/>
          <w:szCs w:val="12"/>
          <w:color w:val="auto"/>
        </w:rPr>
        <w:t>Stock Options granted under the Company’s Stock Option Plan and 2012 Incentive Compensation Plan vest 25% per year over a four-year period from the date of grant. The following are the vesting dates of outstanding options granted to the named executive officers:</w:t>
      </w: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Number of</w:t>
            </w:r>
          </w:p>
        </w:tc>
        <w:tc>
          <w:tcPr>
            <w:tcW w:w="780" w:type="dxa"/>
            <w:vAlign w:val="bottom"/>
          </w:tcPr>
          <w:p>
            <w:pPr>
              <w:jc w:val="right"/>
              <w:ind w:right="138"/>
              <w:spacing w:after="0"/>
              <w:rPr>
                <w:sz w:val="20"/>
                <w:szCs w:val="20"/>
                <w:color w:val="auto"/>
              </w:rPr>
            </w:pPr>
            <w:r>
              <w:rPr>
                <w:rFonts w:ascii="Arial" w:cs="Arial" w:eastAsia="Arial" w:hAnsi="Arial"/>
                <w:sz w:val="12"/>
                <w:szCs w:val="12"/>
                <w:color w:val="auto"/>
              </w:rPr>
              <w:t>Year 1</w:t>
            </w:r>
          </w:p>
        </w:tc>
        <w:tc>
          <w:tcPr>
            <w:tcW w:w="260" w:type="dxa"/>
            <w:vAlign w:val="bottom"/>
          </w:tcPr>
          <w:p>
            <w:pPr>
              <w:spacing w:after="0"/>
              <w:rPr>
                <w:sz w:val="12"/>
                <w:szCs w:val="12"/>
                <w:color w:val="auto"/>
              </w:rPr>
            </w:pP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Year 4</w:t>
            </w:r>
          </w:p>
        </w:tc>
        <w:tc>
          <w:tcPr>
            <w:tcW w:w="580" w:type="dxa"/>
            <w:vAlign w:val="bottom"/>
          </w:tcPr>
          <w:p>
            <w:pPr>
              <w:spacing w:after="0"/>
              <w:rPr>
                <w:sz w:val="12"/>
                <w:szCs w:val="12"/>
                <w:color w:val="auto"/>
              </w:rPr>
            </w:pPr>
          </w:p>
        </w:tc>
        <w:tc>
          <w:tcPr>
            <w:tcW w:w="440" w:type="dxa"/>
            <w:vAlign w:val="bottom"/>
          </w:tcPr>
          <w:p>
            <w:pPr>
              <w:jc w:val="center"/>
              <w:ind w:left="58"/>
              <w:spacing w:after="0"/>
              <w:rPr>
                <w:sz w:val="20"/>
                <w:szCs w:val="20"/>
                <w:color w:val="auto"/>
              </w:rPr>
            </w:pPr>
            <w:r>
              <w:rPr>
                <w:rFonts w:ascii="Arial" w:cs="Arial" w:eastAsia="Arial" w:hAnsi="Arial"/>
                <w:sz w:val="12"/>
                <w:szCs w:val="12"/>
                <w:color w:val="auto"/>
              </w:rPr>
              <w:t>Not</w:t>
            </w:r>
          </w:p>
        </w:tc>
      </w:tr>
      <w:tr>
        <w:trPr>
          <w:trHeight w:val="157"/>
        </w:trPr>
        <w:tc>
          <w:tcPr>
            <w:tcW w:w="10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6"/>
              </w:rPr>
              <w:t>Options</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Vest Date</w:t>
            </w:r>
          </w:p>
        </w:tc>
        <w:tc>
          <w:tcPr>
            <w:tcW w:w="260" w:type="dxa"/>
            <w:vAlign w:val="bottom"/>
          </w:tcPr>
          <w:p>
            <w:pPr>
              <w:spacing w:after="0"/>
              <w:rPr>
                <w:sz w:val="13"/>
                <w:szCs w:val="13"/>
                <w:color w:val="auto"/>
              </w:rPr>
            </w:pP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Vest Date</w:t>
            </w:r>
          </w:p>
        </w:tc>
        <w:tc>
          <w:tcPr>
            <w:tcW w:w="580" w:type="dxa"/>
            <w:vAlign w:val="bottom"/>
          </w:tcPr>
          <w:p>
            <w:pPr>
              <w:ind w:left="140"/>
              <w:spacing w:after="0"/>
              <w:rPr>
                <w:sz w:val="20"/>
                <w:szCs w:val="20"/>
                <w:color w:val="auto"/>
              </w:rPr>
            </w:pPr>
            <w:r>
              <w:rPr>
                <w:rFonts w:ascii="Arial" w:cs="Arial" w:eastAsia="Arial" w:hAnsi="Arial"/>
                <w:sz w:val="12"/>
                <w:szCs w:val="12"/>
                <w:color w:val="auto"/>
              </w:rPr>
              <w:t>Vested</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85"/>
              </w:rPr>
              <w:t>Vested</w:t>
            </w:r>
          </w:p>
        </w:tc>
      </w:tr>
      <w:tr>
        <w:trPr>
          <w:trHeight w:val="253"/>
        </w:trPr>
        <w:tc>
          <w:tcPr>
            <w:tcW w:w="1080" w:type="dxa"/>
            <w:vAlign w:val="bottom"/>
          </w:tcPr>
          <w:p>
            <w:pPr>
              <w:spacing w:after="0"/>
              <w:rPr>
                <w:sz w:val="20"/>
                <w:szCs w:val="20"/>
                <w:color w:val="auto"/>
              </w:rPr>
            </w:pPr>
            <w:r>
              <w:rPr>
                <w:rFonts w:ascii="Arial" w:cs="Arial" w:eastAsia="Arial" w:hAnsi="Arial"/>
                <w:sz w:val="12"/>
                <w:szCs w:val="12"/>
                <w:color w:val="auto"/>
              </w:rPr>
              <w:t>Hal S. Jones</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2,000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05/12/2009</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05/12/2012</w:t>
            </w:r>
          </w:p>
        </w:tc>
        <w:tc>
          <w:tcPr>
            <w:tcW w:w="580" w:type="dxa"/>
            <w:vAlign w:val="bottom"/>
          </w:tcPr>
          <w:p>
            <w:pPr>
              <w:jc w:val="center"/>
              <w:spacing w:after="0"/>
              <w:rPr>
                <w:sz w:val="20"/>
                <w:szCs w:val="20"/>
                <w:color w:val="auto"/>
              </w:rPr>
            </w:pPr>
            <w:r>
              <w:rPr>
                <w:rFonts w:ascii="Arial" w:cs="Arial" w:eastAsia="Arial" w:hAnsi="Arial"/>
                <w:sz w:val="12"/>
                <w:szCs w:val="12"/>
                <w:color w:val="auto"/>
                <w:w w:val="93"/>
              </w:rPr>
              <w:t>2,000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8"/>
              </w:rPr>
              <w:t>-</w:t>
            </w:r>
          </w:p>
        </w:tc>
      </w:tr>
      <w:tr>
        <w:trPr>
          <w:trHeight w:val="137"/>
        </w:trPr>
        <w:tc>
          <w:tcPr>
            <w:tcW w:w="108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line="137" w:lineRule="exact"/>
              <w:rPr>
                <w:sz w:val="20"/>
                <w:szCs w:val="20"/>
                <w:color w:val="auto"/>
              </w:rPr>
            </w:pPr>
            <w:r>
              <w:rPr>
                <w:rFonts w:ascii="Arial" w:cs="Arial" w:eastAsia="Arial" w:hAnsi="Arial"/>
                <w:sz w:val="12"/>
                <w:szCs w:val="12"/>
                <w:color w:val="auto"/>
              </w:rPr>
              <w:t>12/15/2009</w:t>
            </w:r>
          </w:p>
        </w:tc>
        <w:tc>
          <w:tcPr>
            <w:tcW w:w="260" w:type="dxa"/>
            <w:vAlign w:val="bottom"/>
          </w:tcPr>
          <w:p>
            <w:pPr>
              <w:ind w:left="100"/>
              <w:spacing w:after="0" w:line="137" w:lineRule="exact"/>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line="137" w:lineRule="exact"/>
              <w:rPr>
                <w:sz w:val="20"/>
                <w:szCs w:val="20"/>
                <w:color w:val="auto"/>
              </w:rPr>
            </w:pPr>
            <w:r>
              <w:rPr>
                <w:rFonts w:ascii="Arial" w:cs="Arial" w:eastAsia="Arial" w:hAnsi="Arial"/>
                <w:sz w:val="12"/>
                <w:szCs w:val="12"/>
                <w:color w:val="auto"/>
                <w:w w:val="99"/>
              </w:rPr>
              <w:t>12/15/2012</w:t>
            </w:r>
          </w:p>
        </w:tc>
        <w:tc>
          <w:tcPr>
            <w:tcW w:w="580" w:type="dxa"/>
            <w:vAlign w:val="bottom"/>
          </w:tcPr>
          <w:p>
            <w:pPr>
              <w:jc w:val="center"/>
              <w:spacing w:after="0" w:line="137" w:lineRule="exact"/>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8"/>
              </w:rPr>
              <w:t>-</w:t>
            </w:r>
          </w:p>
        </w:tc>
      </w:tr>
      <w:tr>
        <w:trPr>
          <w:trHeight w:val="157"/>
        </w:trPr>
        <w:tc>
          <w:tcPr>
            <w:tcW w:w="10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12/07/2011</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12/07/2014</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500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9"/>
              </w:rPr>
              <w:t>500</w:t>
            </w:r>
          </w:p>
        </w:tc>
      </w:tr>
      <w:tr>
        <w:trPr>
          <w:trHeight w:val="273"/>
        </w:trPr>
        <w:tc>
          <w:tcPr>
            <w:tcW w:w="1080" w:type="dxa"/>
            <w:vAlign w:val="bottom"/>
          </w:tcPr>
          <w:p>
            <w:pPr>
              <w:spacing w:after="0"/>
              <w:rPr>
                <w:sz w:val="20"/>
                <w:szCs w:val="20"/>
                <w:color w:val="auto"/>
              </w:rPr>
            </w:pPr>
            <w:r>
              <w:rPr>
                <w:rFonts w:ascii="Arial" w:cs="Arial" w:eastAsia="Arial" w:hAnsi="Arial"/>
                <w:sz w:val="12"/>
                <w:szCs w:val="12"/>
                <w:color w:val="auto"/>
              </w:rPr>
              <w:t>Gerald M. Rosberg</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12/15/2009</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12/15/2012</w:t>
            </w:r>
          </w:p>
        </w:tc>
        <w:tc>
          <w:tcPr>
            <w:tcW w:w="58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8"/>
              </w:rPr>
              <w:t>-</w:t>
            </w:r>
          </w:p>
        </w:tc>
      </w:tr>
      <w:tr>
        <w:trPr>
          <w:trHeight w:val="253"/>
        </w:trPr>
        <w:tc>
          <w:tcPr>
            <w:tcW w:w="1080" w:type="dxa"/>
            <w:vAlign w:val="bottom"/>
          </w:tcPr>
          <w:p>
            <w:pPr>
              <w:spacing w:after="0"/>
              <w:rPr>
                <w:sz w:val="20"/>
                <w:szCs w:val="20"/>
                <w:color w:val="auto"/>
              </w:rPr>
            </w:pPr>
            <w:r>
              <w:rPr>
                <w:rFonts w:ascii="Arial" w:cs="Arial" w:eastAsia="Arial" w:hAnsi="Arial"/>
                <w:sz w:val="12"/>
                <w:szCs w:val="12"/>
                <w:color w:val="auto"/>
              </w:rPr>
              <w:t>Ann L. McDaniel</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12/02/2004</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12/02/2007</w:t>
            </w:r>
          </w:p>
        </w:tc>
        <w:tc>
          <w:tcPr>
            <w:tcW w:w="58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8"/>
              </w:rPr>
              <w:t>-</w:t>
            </w:r>
          </w:p>
        </w:tc>
      </w:tr>
      <w:tr>
        <w:trPr>
          <w:trHeight w:val="137"/>
        </w:trPr>
        <w:tc>
          <w:tcPr>
            <w:tcW w:w="108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line="137" w:lineRule="exact"/>
              <w:rPr>
                <w:sz w:val="20"/>
                <w:szCs w:val="20"/>
                <w:color w:val="auto"/>
              </w:rPr>
            </w:pPr>
            <w:r>
              <w:rPr>
                <w:rFonts w:ascii="Arial" w:cs="Arial" w:eastAsia="Arial" w:hAnsi="Arial"/>
                <w:sz w:val="12"/>
                <w:szCs w:val="12"/>
                <w:color w:val="auto"/>
              </w:rPr>
              <w:t>12/13/2005</w:t>
            </w:r>
          </w:p>
        </w:tc>
        <w:tc>
          <w:tcPr>
            <w:tcW w:w="260" w:type="dxa"/>
            <w:vAlign w:val="bottom"/>
          </w:tcPr>
          <w:p>
            <w:pPr>
              <w:ind w:left="100"/>
              <w:spacing w:after="0" w:line="137" w:lineRule="exact"/>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line="137" w:lineRule="exact"/>
              <w:rPr>
                <w:sz w:val="20"/>
                <w:szCs w:val="20"/>
                <w:color w:val="auto"/>
              </w:rPr>
            </w:pPr>
            <w:r>
              <w:rPr>
                <w:rFonts w:ascii="Arial" w:cs="Arial" w:eastAsia="Arial" w:hAnsi="Arial"/>
                <w:sz w:val="12"/>
                <w:szCs w:val="12"/>
                <w:color w:val="auto"/>
                <w:w w:val="99"/>
              </w:rPr>
              <w:t>12/13/2008</w:t>
            </w:r>
          </w:p>
        </w:tc>
        <w:tc>
          <w:tcPr>
            <w:tcW w:w="580" w:type="dxa"/>
            <w:vAlign w:val="bottom"/>
          </w:tcPr>
          <w:p>
            <w:pPr>
              <w:jc w:val="center"/>
              <w:spacing w:after="0" w:line="137" w:lineRule="exact"/>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8"/>
              </w:rPr>
              <w:t>-</w:t>
            </w:r>
          </w:p>
        </w:tc>
      </w:tr>
      <w:tr>
        <w:trPr>
          <w:trHeight w:val="157"/>
        </w:trPr>
        <w:tc>
          <w:tcPr>
            <w:tcW w:w="10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12/15/2009</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12/15/2012</w:t>
            </w:r>
          </w:p>
        </w:tc>
        <w:tc>
          <w:tcPr>
            <w:tcW w:w="58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8"/>
              </w:rPr>
              <w:t>-</w:t>
            </w:r>
          </w:p>
        </w:tc>
      </w:tr>
      <w:tr>
        <w:trPr>
          <w:trHeight w:val="273"/>
        </w:trPr>
        <w:tc>
          <w:tcPr>
            <w:tcW w:w="1080" w:type="dxa"/>
            <w:vAlign w:val="bottom"/>
          </w:tcPr>
          <w:p>
            <w:pPr>
              <w:spacing w:after="0"/>
              <w:rPr>
                <w:sz w:val="20"/>
                <w:szCs w:val="20"/>
                <w:color w:val="auto"/>
              </w:rPr>
            </w:pPr>
            <w:r>
              <w:rPr>
                <w:rFonts w:ascii="Arial" w:cs="Arial" w:eastAsia="Arial" w:hAnsi="Arial"/>
                <w:sz w:val="12"/>
                <w:szCs w:val="12"/>
                <w:color w:val="auto"/>
              </w:rPr>
              <w:t>Veronica Dillon</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12/15/2009</w:t>
            </w:r>
          </w:p>
        </w:tc>
        <w:tc>
          <w:tcPr>
            <w:tcW w:w="260" w:type="dxa"/>
            <w:vAlign w:val="bottom"/>
          </w:tcPr>
          <w:p>
            <w:pPr>
              <w:ind w:left="100"/>
              <w:spacing w:after="0"/>
              <w:rPr>
                <w:sz w:val="20"/>
                <w:szCs w:val="20"/>
                <w:color w:val="auto"/>
              </w:rPr>
            </w:pPr>
            <w:r>
              <w:rPr>
                <w:rFonts w:ascii="Arial" w:cs="Arial" w:eastAsia="Arial" w:hAnsi="Arial"/>
                <w:sz w:val="12"/>
                <w:szCs w:val="12"/>
                <w:color w:val="auto"/>
              </w:rPr>
              <w:t>to</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w w:val="99"/>
              </w:rPr>
              <w:t>12/15/2012</w:t>
            </w:r>
          </w:p>
        </w:tc>
        <w:tc>
          <w:tcPr>
            <w:tcW w:w="580" w:type="dxa"/>
            <w:vAlign w:val="bottom"/>
          </w:tcPr>
          <w:p>
            <w:pPr>
              <w:jc w:val="center"/>
              <w:spacing w:after="0"/>
              <w:rPr>
                <w:sz w:val="20"/>
                <w:szCs w:val="20"/>
                <w:color w:val="auto"/>
              </w:rPr>
            </w:pPr>
            <w:r>
              <w:rPr>
                <w:rFonts w:ascii="Arial" w:cs="Arial" w:eastAsia="Arial" w:hAnsi="Arial"/>
                <w:sz w:val="12"/>
                <w:szCs w:val="12"/>
                <w:color w:val="auto"/>
                <w:w w:val="93"/>
              </w:rPr>
              <w:t>1,000</w:t>
            </w:r>
          </w:p>
        </w:tc>
        <w:tc>
          <w:tcPr>
            <w:tcW w:w="440" w:type="dxa"/>
            <w:vAlign w:val="bottom"/>
          </w:tcPr>
          <w:p>
            <w:pPr>
              <w:jc w:val="center"/>
              <w:ind w:left="58"/>
              <w:spacing w:after="0"/>
              <w:rPr>
                <w:sz w:val="20"/>
                <w:szCs w:val="20"/>
                <w:color w:val="auto"/>
              </w:rPr>
            </w:pPr>
            <w:r>
              <w:rPr>
                <w:rFonts w:ascii="Arial" w:cs="Arial" w:eastAsia="Arial" w:hAnsi="Arial"/>
                <w:sz w:val="12"/>
                <w:szCs w:val="12"/>
                <w:color w:val="auto"/>
                <w:w w:val="98"/>
              </w:rPr>
              <w:t>-</w:t>
            </w:r>
          </w:p>
        </w:tc>
      </w:tr>
    </w:tbl>
    <w:p>
      <w:pPr>
        <w:spacing w:after="0" w:line="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6" w:right="139" w:bottom="1440" w:gutter="0" w:footer="0" w:header="0"/>
        </w:sectPr>
      </w:pPr>
    </w:p>
    <w:bookmarkStart w:id="28" w:name="page29"/>
    <w:bookmarkEnd w:id="28"/>
    <w:p>
      <w:pPr>
        <w:ind w:left="560" w:hanging="271"/>
        <w:spacing w:after="0"/>
        <w:tabs>
          <w:tab w:leader="none" w:pos="5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Stock Awards have been granted in the form of Restricted Stock under the Company’s Incentive Compensation Plan and 2012 Incentive Compensation Plan as of December 31, 2012. All of the awards listed b</w:t>
      </w:r>
    </w:p>
    <w:p>
      <w:pPr>
        <w:spacing w:after="0" w:line="20" w:lineRule="exact"/>
        <w:rPr>
          <w:rFonts w:ascii="Arial" w:cs="Arial" w:eastAsia="Arial" w:hAnsi="Arial"/>
          <w:sz w:val="11"/>
          <w:szCs w:val="11"/>
          <w:color w:val="auto"/>
        </w:rPr>
      </w:pPr>
    </w:p>
    <w:p>
      <w:pPr>
        <w:ind w:left="580"/>
        <w:spacing w:after="0"/>
        <w:rPr>
          <w:rFonts w:ascii="Arial" w:cs="Arial" w:eastAsia="Arial" w:hAnsi="Arial"/>
          <w:sz w:val="11"/>
          <w:szCs w:val="11"/>
          <w:color w:val="auto"/>
        </w:rPr>
      </w:pPr>
      <w:r>
        <w:rPr>
          <w:rFonts w:ascii="Arial" w:cs="Arial" w:eastAsia="Arial" w:hAnsi="Arial"/>
          <w:sz w:val="12"/>
          <w:szCs w:val="12"/>
          <w:color w:val="auto"/>
        </w:rPr>
        <w:t>100% at the end of the relevant Award Cycle. The following are the vesting dates of the grants to the named executives: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760" w:type="dxa"/>
            <w:vAlign w:val="bottom"/>
          </w:tcPr>
          <w:p>
            <w:pPr>
              <w:jc w:val="center"/>
              <w:ind w:left="18"/>
              <w:spacing w:after="0"/>
              <w:rPr>
                <w:sz w:val="20"/>
                <w:szCs w:val="20"/>
                <w:color w:val="auto"/>
              </w:rPr>
            </w:pPr>
            <w:r>
              <w:rPr>
                <w:rFonts w:ascii="Arial" w:cs="Arial" w:eastAsia="Arial" w:hAnsi="Arial"/>
                <w:sz w:val="12"/>
                <w:szCs w:val="12"/>
                <w:color w:val="auto"/>
                <w:w w:val="93"/>
              </w:rPr>
              <w:t>Number</w:t>
            </w:r>
          </w:p>
        </w:tc>
        <w:tc>
          <w:tcPr>
            <w:tcW w:w="68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760" w:type="dxa"/>
            <w:vAlign w:val="bottom"/>
          </w:tcPr>
          <w:p>
            <w:pPr>
              <w:jc w:val="center"/>
              <w:ind w:left="18"/>
              <w:spacing w:after="0"/>
              <w:rPr>
                <w:sz w:val="20"/>
                <w:szCs w:val="20"/>
                <w:color w:val="auto"/>
              </w:rPr>
            </w:pPr>
            <w:r>
              <w:rPr>
                <w:rFonts w:ascii="Arial" w:cs="Arial" w:eastAsia="Arial" w:hAnsi="Arial"/>
                <w:sz w:val="12"/>
                <w:szCs w:val="12"/>
                <w:color w:val="auto"/>
                <w:w w:val="93"/>
              </w:rPr>
              <w:t>of Shares</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1"/>
              </w:rPr>
              <w:t>Vest Date</w:t>
            </w:r>
          </w:p>
        </w:tc>
      </w:tr>
      <w:tr>
        <w:trPr>
          <w:trHeight w:val="253"/>
        </w:trPr>
        <w:tc>
          <w:tcPr>
            <w:tcW w:w="1140" w:type="dxa"/>
            <w:vAlign w:val="bottom"/>
          </w:tcPr>
          <w:p>
            <w:pPr>
              <w:spacing w:after="0"/>
              <w:rPr>
                <w:sz w:val="20"/>
                <w:szCs w:val="20"/>
                <w:color w:val="auto"/>
              </w:rPr>
            </w:pPr>
            <w:r>
              <w:rPr>
                <w:rFonts w:ascii="Arial" w:cs="Arial" w:eastAsia="Arial" w:hAnsi="Arial"/>
                <w:sz w:val="12"/>
                <w:szCs w:val="12"/>
                <w:color w:val="auto"/>
              </w:rPr>
              <w:t>Hal S. Jones</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01/04/2017</w:t>
            </w:r>
          </w:p>
        </w:tc>
      </w:tr>
      <w:tr>
        <w:trPr>
          <w:trHeight w:val="137"/>
        </w:trPr>
        <w:tc>
          <w:tcPr>
            <w:tcW w:w="1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3"/>
              </w:rPr>
              <w:t>01/05/2015</w:t>
            </w:r>
          </w:p>
        </w:tc>
      </w:tr>
      <w:tr>
        <w:trPr>
          <w:trHeight w:val="157"/>
        </w:trPr>
        <w:tc>
          <w:tcPr>
            <w:tcW w:w="1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400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01/05/2013</w:t>
            </w:r>
          </w:p>
        </w:tc>
      </w:tr>
      <w:tr>
        <w:trPr>
          <w:trHeight w:val="253"/>
        </w:trPr>
        <w:tc>
          <w:tcPr>
            <w:tcW w:w="1140" w:type="dxa"/>
            <w:vAlign w:val="bottom"/>
          </w:tcPr>
          <w:p>
            <w:pPr>
              <w:spacing w:after="0"/>
              <w:rPr>
                <w:sz w:val="20"/>
                <w:szCs w:val="20"/>
                <w:color w:val="auto"/>
              </w:rPr>
            </w:pPr>
            <w:r>
              <w:rPr>
                <w:rFonts w:ascii="Arial" w:cs="Arial" w:eastAsia="Arial" w:hAnsi="Arial"/>
                <w:sz w:val="12"/>
                <w:szCs w:val="12"/>
                <w:color w:val="auto"/>
              </w:rPr>
              <w:t>Gerald M. Rosberg</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01/04/2017</w:t>
            </w:r>
          </w:p>
        </w:tc>
      </w:tr>
      <w:tr>
        <w:trPr>
          <w:trHeight w:val="137"/>
        </w:trPr>
        <w:tc>
          <w:tcPr>
            <w:tcW w:w="1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3"/>
              </w:rPr>
              <w:t>01/05/2015</w:t>
            </w:r>
          </w:p>
        </w:tc>
      </w:tr>
      <w:tr>
        <w:trPr>
          <w:trHeight w:val="157"/>
        </w:trPr>
        <w:tc>
          <w:tcPr>
            <w:tcW w:w="1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400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01/05/2013</w:t>
            </w:r>
          </w:p>
        </w:tc>
      </w:tr>
      <w:tr>
        <w:trPr>
          <w:trHeight w:val="253"/>
        </w:trPr>
        <w:tc>
          <w:tcPr>
            <w:tcW w:w="1140" w:type="dxa"/>
            <w:vAlign w:val="bottom"/>
          </w:tcPr>
          <w:p>
            <w:pPr>
              <w:spacing w:after="0"/>
              <w:rPr>
                <w:sz w:val="20"/>
                <w:szCs w:val="20"/>
                <w:color w:val="auto"/>
              </w:rPr>
            </w:pPr>
            <w:r>
              <w:rPr>
                <w:rFonts w:ascii="Arial" w:cs="Arial" w:eastAsia="Arial" w:hAnsi="Arial"/>
                <w:sz w:val="12"/>
                <w:szCs w:val="12"/>
                <w:color w:val="auto"/>
              </w:rPr>
              <w:t>Ann L. McDaniel</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01/04/2017</w:t>
            </w:r>
          </w:p>
        </w:tc>
      </w:tr>
      <w:tr>
        <w:trPr>
          <w:trHeight w:val="137"/>
        </w:trPr>
        <w:tc>
          <w:tcPr>
            <w:tcW w:w="1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3"/>
              </w:rPr>
              <w:t>01/05/2015</w:t>
            </w:r>
          </w:p>
        </w:tc>
      </w:tr>
      <w:tr>
        <w:trPr>
          <w:trHeight w:val="157"/>
        </w:trPr>
        <w:tc>
          <w:tcPr>
            <w:tcW w:w="1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400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01/05/2013</w:t>
            </w:r>
          </w:p>
        </w:tc>
      </w:tr>
      <w:tr>
        <w:trPr>
          <w:trHeight w:val="253"/>
        </w:trPr>
        <w:tc>
          <w:tcPr>
            <w:tcW w:w="1140" w:type="dxa"/>
            <w:vAlign w:val="bottom"/>
          </w:tcPr>
          <w:p>
            <w:pPr>
              <w:spacing w:after="0"/>
              <w:rPr>
                <w:sz w:val="20"/>
                <w:szCs w:val="20"/>
                <w:color w:val="auto"/>
              </w:rPr>
            </w:pPr>
            <w:r>
              <w:rPr>
                <w:rFonts w:ascii="Arial" w:cs="Arial" w:eastAsia="Arial" w:hAnsi="Arial"/>
                <w:sz w:val="12"/>
                <w:szCs w:val="12"/>
                <w:color w:val="auto"/>
              </w:rPr>
              <w:t>Veronica Dillon</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01/04/2017</w:t>
            </w:r>
          </w:p>
        </w:tc>
      </w:tr>
      <w:tr>
        <w:trPr>
          <w:trHeight w:val="147"/>
        </w:trPr>
        <w:tc>
          <w:tcPr>
            <w:tcW w:w="1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800</w:t>
            </w: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01/05/2015</w:t>
            </w:r>
          </w:p>
        </w:tc>
      </w:tr>
    </w:tbl>
    <w:p>
      <w:pPr>
        <w:ind w:left="2460" w:hanging="567"/>
        <w:spacing w:after="0"/>
        <w:tabs>
          <w:tab w:leader="none" w:pos="2460" w:val="left"/>
        </w:tabs>
        <w:numPr>
          <w:ilvl w:val="1"/>
          <w:numId w:val="33"/>
        </w:numPr>
        <w:rPr>
          <w:rFonts w:ascii="Arial" w:cs="Arial" w:eastAsia="Arial" w:hAnsi="Arial"/>
          <w:sz w:val="12"/>
          <w:szCs w:val="12"/>
          <w:color w:val="auto"/>
        </w:rPr>
      </w:pPr>
      <w:r>
        <w:rPr>
          <w:rFonts w:ascii="Arial" w:cs="Arial" w:eastAsia="Arial" w:hAnsi="Arial"/>
          <w:sz w:val="12"/>
          <w:szCs w:val="12"/>
          <w:color w:val="auto"/>
        </w:rPr>
        <w:t>01/05/2013</w:t>
      </w:r>
    </w:p>
    <w:p>
      <w:pPr>
        <w:spacing w:after="0" w:line="187" w:lineRule="exact"/>
        <w:rPr>
          <w:rFonts w:ascii="Arial" w:cs="Arial" w:eastAsia="Arial" w:hAnsi="Arial"/>
          <w:sz w:val="12"/>
          <w:szCs w:val="12"/>
          <w:color w:val="auto"/>
        </w:rPr>
      </w:pPr>
    </w:p>
    <w:p>
      <w:pPr>
        <w:ind w:left="520" w:hanging="231"/>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Calculated using the fair market value of a share of the Company’s Class B Common Stock as of December 31, 2012 ($365.21).</w:t>
      </w:r>
    </w:p>
    <w:p>
      <w:pPr>
        <w:spacing w:after="0" w:line="189"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PENSION BENEFITS</w:t>
      </w:r>
    </w:p>
    <w:p>
      <w:pPr>
        <w:spacing w:after="0" w:line="206" w:lineRule="exact"/>
        <w:rPr>
          <w:sz w:val="20"/>
          <w:szCs w:val="20"/>
          <w:color w:val="auto"/>
        </w:rPr>
      </w:pPr>
    </w:p>
    <w:p>
      <w:pPr>
        <w:ind w:firstLine="709"/>
        <w:spacing w:after="0" w:line="262"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Washington Post Companies (the “Retirement Plan”), as well as the associated nonqualified plan, The Washington Post Company Supplemental Executive Retirement Plan (the “SER The Retirement Plan covers most employees of the Company and provides benefits that are based on formulas that take into account base salary and service. Such for are contained in individual affiliate benefits schedules including The TWPC Retirement Benefits Schedule, the Newsweek Retirement Benefits Schedule, the Cash B Retirement Program and the Secure Retirement Account, which is a new benefit program described below. Benefits under the Retirement Plan become vested after th five years of service, depending on which schedules cover the individual employee. All of the named executive officers are fully vested in their benefits under the Retirement Plan. The SERP provides benefits that are calculated based on the formulas in the Retirement Plan, but including bonuses under the 2012 Incentive Compensation Plan, rather than just base salary and without regard to (i) the salary limitation applicable to tax-qualified plans (currently $255,000) or (ii) the benefit limitation applicable to tax-qualified plans (currently $205,000 per year commencing at age 65). The SERP provides benefits only to the extent that the benefit descri above exceeds the benefit in the Retirement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TWPC Retirement Benefits Schedule</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Mr. Graham, Mr. Jones, Mr. Rosberg, Ms. McDaniel and Ms. Dillon are participants in The TWPC Retirement Benefits Schedule. Benefits payable under 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Schedule include the following, subject to the limitations on tax-qualified plans mentioned above:</w:t>
      </w:r>
    </w:p>
    <w:p>
      <w:pPr>
        <w:spacing w:after="0" w:line="191" w:lineRule="exact"/>
        <w:rPr>
          <w:sz w:val="20"/>
          <w:szCs w:val="20"/>
          <w:color w:val="auto"/>
        </w:rPr>
      </w:pPr>
    </w:p>
    <w:p>
      <w:pPr>
        <w:ind w:left="1340" w:hanging="134"/>
        <w:spacing w:after="0" w:line="298" w:lineRule="auto"/>
        <w:tabs>
          <w:tab w:leader="none" w:pos="1356" w:val="left"/>
        </w:tabs>
        <w:numPr>
          <w:ilvl w:val="1"/>
          <w:numId w:val="35"/>
        </w:numPr>
        <w:rPr>
          <w:rFonts w:ascii="Arial" w:cs="Arial" w:eastAsia="Arial" w:hAnsi="Arial"/>
          <w:sz w:val="14"/>
          <w:szCs w:val="14"/>
          <w:color w:val="auto"/>
        </w:rPr>
      </w:pPr>
      <w:r>
        <w:rPr>
          <w:rFonts w:ascii="Arial" w:cs="Arial" w:eastAsia="Arial" w:hAnsi="Arial"/>
          <w:sz w:val="14"/>
          <w:szCs w:val="14"/>
          <w:color w:val="auto"/>
        </w:rPr>
        <w:t>An annual pension (payable one-twelfth each month) equal to (a) 1.75% of the average annual salary for the 60-month period producing the high average; multiplied by (b) years of credited service (which was limited up to 30 years until the plan was amended in 2011 to recognize credited s in excess of 30 years); reduced by (c) an offset to partially reflect Social Security benefits to the extent funded by the Company. The Social Secur offset is calculated by multiplying “covered compensation” by the “offset percentage.” Covered compensation in this context is the average Socia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1" w:lineRule="exact"/>
        <w:rPr>
          <w:rFonts w:ascii="Arial" w:cs="Arial" w:eastAsia="Arial" w:hAnsi="Arial"/>
          <w:sz w:val="14"/>
          <w:szCs w:val="14"/>
          <w:color w:val="auto"/>
        </w:rPr>
      </w:pPr>
    </w:p>
    <w:p>
      <w:pPr>
        <w:ind w:left="1340" w:right="40" w:hanging="158"/>
        <w:spacing w:after="0" w:line="243" w:lineRule="auto"/>
        <w:tabs>
          <w:tab w:leader="none" w:pos="1332"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Cash Pension Supplement equal to $200 multiplied by years of credited service (which was limited to 30 years until the plan was ame 2011 to recognize credited service in excess of 30 years).</w:t>
      </w:r>
    </w:p>
    <w:p>
      <w:pPr>
        <w:spacing w:after="0" w:line="1" w:lineRule="exact"/>
        <w:rPr>
          <w:rFonts w:ascii="Arial" w:cs="Arial" w:eastAsia="Arial" w:hAnsi="Arial"/>
          <w:sz w:val="17"/>
          <w:szCs w:val="17"/>
          <w:color w:val="auto"/>
        </w:rPr>
      </w:pPr>
    </w:p>
    <w:p>
      <w:pPr>
        <w:ind w:left="1320" w:hanging="138"/>
        <w:spacing w:after="0"/>
        <w:tabs>
          <w:tab w:leader="none" w:pos="1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temporary pre-age 65 supplement of $250 per month payable until age 65 to employees retiring at or after age 55 with ten years of vesting serv</w:t>
      </w:r>
    </w:p>
    <w:p>
      <w:pPr>
        <w:spacing w:after="0" w:line="25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50" w:right="139" w:bottom="1440" w:gutter="0" w:footer="0" w:header="0"/>
        </w:sectPr>
      </w:pPr>
    </w:p>
    <w:bookmarkStart w:id="29" w:name="page30"/>
    <w:bookmarkEnd w:id="29"/>
    <w:p>
      <w:pPr>
        <w:jc w:val="both"/>
        <w:ind w:firstLine="709"/>
        <w:spacing w:after="0" w:line="267" w:lineRule="auto"/>
        <w:rPr>
          <w:sz w:val="20"/>
          <w:szCs w:val="20"/>
          <w:color w:val="auto"/>
        </w:rPr>
      </w:pPr>
      <w:r>
        <w:rPr>
          <w:rFonts w:ascii="Arial" w:cs="Arial" w:eastAsia="Arial" w:hAnsi="Arial"/>
          <w:sz w:val="16"/>
          <w:szCs w:val="16"/>
          <w:color w:val="auto"/>
        </w:rPr>
        <w:t>Vested benefits under the Retirement Plan are generally payable in the form of a single life annuity. In addition, several optional forms are available that co benefits to the employee’s spouse or beneficiary with the monthly benefit amount reduced so that the resulting pension is actuarially equivalent to the single life annu The Retirement Plan’s normal retirement age is 65. The TWPC Retirement Benefits Schedule provides a reduced benefit beginning at age 55. The reduction is a perc based on age at retirement. For example, at age 55 with ten years of service, the reduction is 60%, and at age 58 the reduction is 26%. However, if the employee’s age years of service at retirement is at least 90, then there is no reduction for early payment.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Newsweek Retirement Benefits Schedule</w:t>
      </w:r>
    </w:p>
    <w:p>
      <w:pPr>
        <w:spacing w:after="0" w:line="206" w:lineRule="exact"/>
        <w:rPr>
          <w:sz w:val="20"/>
          <w:szCs w:val="20"/>
          <w:color w:val="auto"/>
        </w:rPr>
      </w:pPr>
    </w:p>
    <w:p>
      <w:pPr>
        <w:ind w:right="40" w:firstLine="709"/>
        <w:spacing w:after="0" w:line="260" w:lineRule="auto"/>
        <w:rPr>
          <w:sz w:val="20"/>
          <w:szCs w:val="20"/>
          <w:color w:val="auto"/>
        </w:rPr>
      </w:pPr>
      <w:r>
        <w:rPr>
          <w:rFonts w:ascii="Arial" w:cs="Arial" w:eastAsia="Arial" w:hAnsi="Arial"/>
          <w:sz w:val="17"/>
          <w:szCs w:val="17"/>
          <w:color w:val="auto"/>
        </w:rPr>
        <w:t>A portion of Ms. McDaniel’s pension benefit was earned under the Newsweek Retirement Benefits Schedule. Vested benefits payable under this Schedule include the following, subject to the limitations on tax-qualified plans mentioned above:</w:t>
      </w:r>
    </w:p>
    <w:p>
      <w:pPr>
        <w:spacing w:after="0" w:line="172" w:lineRule="exact"/>
        <w:rPr>
          <w:sz w:val="20"/>
          <w:szCs w:val="20"/>
          <w:color w:val="auto"/>
        </w:rPr>
      </w:pPr>
    </w:p>
    <w:p>
      <w:pPr>
        <w:ind w:left="1340" w:hanging="158"/>
        <w:spacing w:after="0" w:line="250" w:lineRule="auto"/>
        <w:tabs>
          <w:tab w:leader="none" w:pos="1332"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1.1% of the highest average compensation multiplied by years of credited service w Newsweek after 1982 (with a slightly different formula for service before 1983).</w:t>
      </w:r>
    </w:p>
    <w:p>
      <w:pPr>
        <w:ind w:left="1340" w:hanging="134"/>
        <w:spacing w:after="0"/>
        <w:tabs>
          <w:tab w:leader="none" w:pos="13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 annual Cash Pension Supplement equal to $150 multiplied by years of credited service (up to 30 years).</w:t>
      </w:r>
    </w:p>
    <w:p>
      <w:pPr>
        <w:spacing w:after="0" w:line="191" w:lineRule="exact"/>
        <w:rPr>
          <w:sz w:val="20"/>
          <w:szCs w:val="20"/>
          <w:color w:val="auto"/>
        </w:rPr>
      </w:pPr>
    </w:p>
    <w:p>
      <w:pPr>
        <w:ind w:right="20" w:firstLine="709"/>
        <w:spacing w:after="0" w:line="260" w:lineRule="auto"/>
        <w:rPr>
          <w:sz w:val="20"/>
          <w:szCs w:val="20"/>
          <w:color w:val="auto"/>
        </w:rPr>
      </w:pPr>
      <w:r>
        <w:rPr>
          <w:rFonts w:ascii="Arial" w:cs="Arial" w:eastAsia="Arial" w:hAnsi="Arial"/>
          <w:sz w:val="17"/>
          <w:szCs w:val="17"/>
          <w:color w:val="auto"/>
        </w:rPr>
        <w:t>The Newsweek Retirement Benefits Schedule permits early retirement with full benefits at various combinations of age and service. Ms. McDaniel is pres entitled to an unreduced early retirement benefit.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Kaplan Cash Balance Retirement Benefit Schedule</w:t>
      </w:r>
    </w:p>
    <w:p>
      <w:pPr>
        <w:spacing w:after="0" w:line="206" w:lineRule="exact"/>
        <w:rPr>
          <w:sz w:val="20"/>
          <w:szCs w:val="20"/>
          <w:color w:val="auto"/>
        </w:rPr>
      </w:pPr>
    </w:p>
    <w:p>
      <w:pPr>
        <w:jc w:val="both"/>
        <w:ind w:firstLine="709"/>
        <w:spacing w:after="0" w:line="314" w:lineRule="auto"/>
        <w:rPr>
          <w:sz w:val="20"/>
          <w:szCs w:val="20"/>
          <w:color w:val="auto"/>
        </w:rPr>
      </w:pPr>
      <w:r>
        <w:rPr>
          <w:rFonts w:ascii="Arial" w:cs="Arial" w:eastAsia="Arial" w:hAnsi="Arial"/>
          <w:sz w:val="14"/>
          <w:szCs w:val="14"/>
          <w:color w:val="auto"/>
        </w:rPr>
        <w:t>A portion of Mr. Jones’s and Ms. Dillon’s pension benefit was earned under the Kaplan Cash Balance Retirement Benefits Schedule. Under this Schedule, employee has an account (expressed as a lump sum amount rather than as an annuity) that is credited with quarterly pay-based credits and interest credits. Pay-based vary from 2.25% of salary to 3.75% of salary, depending on years of service. Interest is credited on these accounts at the greater of 1.41% or 1% plus the average inte rate on one-year U.S. Treasury securities. Upon retirement, the employee may elect various forms of annuities that are actuarially equivalent to the accumulated acco balance or, alternatively, may elect a lump sum payment. Vested benefits are payable upon termination of employment at any age.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 Benefits under the Secure Retirement Account Cash Balance Retirement Program Schedule</w:t>
      </w:r>
    </w:p>
    <w:p>
      <w:pPr>
        <w:spacing w:after="0" w:line="206" w:lineRule="exact"/>
        <w:rPr>
          <w:sz w:val="20"/>
          <w:szCs w:val="20"/>
          <w:color w:val="auto"/>
        </w:rPr>
      </w:pPr>
    </w:p>
    <w:p>
      <w:pPr>
        <w:jc w:val="both"/>
        <w:ind w:firstLine="709"/>
        <w:spacing w:after="0" w:line="310" w:lineRule="auto"/>
        <w:rPr>
          <w:sz w:val="20"/>
          <w:szCs w:val="20"/>
          <w:color w:val="auto"/>
        </w:rPr>
      </w:pPr>
      <w:r>
        <w:rPr>
          <w:rFonts w:ascii="Arial" w:cs="Arial" w:eastAsia="Arial" w:hAnsi="Arial"/>
          <w:sz w:val="14"/>
          <w:szCs w:val="14"/>
          <w:color w:val="auto"/>
        </w:rPr>
        <w:t>A portion of Mr. Graham’s pension benefit was earned under the Secure Retirement Account Cash Balance Retirement Program Schedule (“SRA”). A por Mr. Jones’s, Mr. Rosberg’s, Ms. McDaniel’s and Ms. Dillon’s pension benefit after 2012 will be earned under the SRA. Under this Schedule, each employee has an ac (expressed as a lump sum amount, rather than as an annuity) that is credited with quarterly pay-based credits and interest credits. Pay-based credits vary from 4.62% 7.35%, depending on years of service. Interest is credited on these accounts at the greater of 1.41% or 1% plus the average interest rate on one-year U.S. Treasury sec Upon retirement, the employee may elect various forms of annuities that are actuarially equivalent to the accumulated account balance, or alternatively, may elect a lu sum payment. Vested benefits are payable upon termination of employment at any age.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SERP Benefits</w:t>
      </w:r>
    </w:p>
    <w:p>
      <w:pPr>
        <w:spacing w:after="0" w:line="206" w:lineRule="exact"/>
        <w:rPr>
          <w:sz w:val="20"/>
          <w:szCs w:val="20"/>
          <w:color w:val="auto"/>
        </w:rPr>
      </w:pPr>
    </w:p>
    <w:p>
      <w:pPr>
        <w:jc w:val="both"/>
        <w:ind w:firstLine="709"/>
        <w:spacing w:after="0" w:line="320" w:lineRule="auto"/>
        <w:rPr>
          <w:sz w:val="20"/>
          <w:szCs w:val="20"/>
          <w:color w:val="auto"/>
        </w:rPr>
      </w:pPr>
      <w:r>
        <w:rPr>
          <w:rFonts w:ascii="Arial" w:cs="Arial" w:eastAsia="Arial" w:hAnsi="Arial"/>
          <w:sz w:val="14"/>
          <w:szCs w:val="14"/>
          <w:color w:val="auto"/>
        </w:rPr>
        <w:t>As explained above, the SERP provides benefits to each of the named executive officers under the formulas outlined above, counting bonuses in addition t salary and without regard to the limits on compensation and benefits, to the extent that the resulting total benefit exceeds the benefits payable under the Retirement Pl Benefits under the SERP are paid at retirement or age 55, if later, and are payable either in the form of a life annuity or an actuarially equivalent optional form of ben the Retirement Plan provided that any benefits otherwise payable before the first day of the seventh month following retirement will be withheld until such date.</w:t>
      </w:r>
    </w:p>
    <w:p>
      <w:pPr>
        <w:spacing w:after="0" w:line="15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47" w:right="139" w:bottom="1440" w:gutter="0" w:footer="0" w:header="0"/>
        </w:sectPr>
      </w:pPr>
    </w:p>
    <w:bookmarkStart w:id="30" w:name="page31"/>
    <w:bookmarkEnd w:id="30"/>
    <w:p>
      <w:pPr>
        <w:jc w:val="center"/>
        <w:ind w:left="1160"/>
        <w:spacing w:after="0"/>
        <w:rPr>
          <w:sz w:val="20"/>
          <w:szCs w:val="20"/>
          <w:color w:val="auto"/>
        </w:rPr>
      </w:pPr>
      <w:r>
        <w:rPr>
          <w:rFonts w:ascii="Arial" w:cs="Arial" w:eastAsia="Arial" w:hAnsi="Arial"/>
          <w:sz w:val="17"/>
          <w:szCs w:val="17"/>
          <w:b w:val="1"/>
          <w:bCs w:val="1"/>
          <w:color w:val="auto"/>
        </w:rPr>
        <w:t>Pension Benefits</w:t>
      </w:r>
    </w:p>
    <w:p>
      <w:pPr>
        <w:spacing w:after="0" w:line="186" w:lineRule="exact"/>
        <w:rPr>
          <w:sz w:val="20"/>
          <w:szCs w:val="20"/>
          <w:color w:val="auto"/>
        </w:rPr>
      </w:pPr>
    </w:p>
    <w:tbl>
      <w:tblPr>
        <w:tblLayout w:type="fixed"/>
        <w:tblInd w:w="19" w:type="dxa"/>
        <w:tblCellMar>
          <w:top w:w="0" w:type="dxa"/>
          <w:left w:w="0" w:type="dxa"/>
          <w:bottom w:w="0" w:type="dxa"/>
          <w:right w:w="0" w:type="dxa"/>
        </w:tblCellMar>
      </w:tblPr>
      <w:tr>
        <w:trPr>
          <w:trHeight w:val="210"/>
        </w:trPr>
        <w:tc>
          <w:tcPr>
            <w:tcW w:w="1840" w:type="dxa"/>
            <w:vAlign w:val="bottom"/>
            <w:tcBorders>
              <w:top w:val="single" w:sz="8" w:color="auto"/>
              <w:left w:val="single" w:sz="8" w:color="auto"/>
              <w:right w:val="single" w:sz="8" w:color="auto"/>
            </w:tcBorders>
          </w:tcPr>
          <w:p>
            <w:pPr>
              <w:spacing w:after="0"/>
              <w:rPr>
                <w:sz w:val="18"/>
                <w:szCs w:val="18"/>
                <w:color w:val="auto"/>
              </w:rPr>
            </w:pPr>
          </w:p>
        </w:tc>
        <w:tc>
          <w:tcPr>
            <w:tcW w:w="526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Present</w:t>
            </w:r>
          </w:p>
        </w:tc>
        <w:tc>
          <w:tcPr>
            <w:tcW w:w="760" w:type="dxa"/>
            <w:vAlign w:val="bottom"/>
            <w:tcBorders>
              <w:top w:val="single" w:sz="8" w:color="auto"/>
            </w:tcBorders>
          </w:tcPr>
          <w:p>
            <w:pPr>
              <w:spacing w:after="0"/>
              <w:rPr>
                <w:sz w:val="18"/>
                <w:szCs w:val="18"/>
                <w:color w:val="auto"/>
              </w:rPr>
            </w:pP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Years of</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Value of</w:t>
            </w:r>
          </w:p>
        </w:tc>
        <w:tc>
          <w:tcPr>
            <w:tcW w:w="760" w:type="dxa"/>
            <w:vAlign w:val="bottom"/>
          </w:tcPr>
          <w:p>
            <w:pPr>
              <w:ind w:left="340"/>
              <w:spacing w:after="0"/>
              <w:rPr>
                <w:sz w:val="20"/>
                <w:szCs w:val="20"/>
                <w:color w:val="auto"/>
              </w:rPr>
            </w:pPr>
            <w:r>
              <w:rPr>
                <w:rFonts w:ascii="Arial" w:cs="Arial" w:eastAsia="Arial" w:hAnsi="Arial"/>
                <w:sz w:val="12"/>
                <w:szCs w:val="12"/>
                <w:b w:val="1"/>
                <w:bCs w:val="1"/>
                <w:color w:val="auto"/>
                <w:w w:val="86"/>
              </w:rPr>
              <w:t>Paymen</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Credited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760" w:type="dxa"/>
            <w:vAlign w:val="bottom"/>
          </w:tcPr>
          <w:p>
            <w:pPr>
              <w:jc w:val="center"/>
              <w:ind w:left="338"/>
              <w:spacing w:after="0"/>
              <w:rPr>
                <w:sz w:val="20"/>
                <w:szCs w:val="20"/>
                <w:color w:val="auto"/>
              </w:rPr>
            </w:pPr>
            <w:r>
              <w:rPr>
                <w:rFonts w:ascii="Arial" w:cs="Arial" w:eastAsia="Arial" w:hAnsi="Arial"/>
                <w:sz w:val="12"/>
                <w:szCs w:val="12"/>
                <w:b w:val="1"/>
                <w:bCs w:val="1"/>
                <w:color w:val="auto"/>
              </w:rPr>
              <w:t>Durin</w:t>
            </w:r>
          </w:p>
        </w:tc>
      </w:tr>
      <w:tr>
        <w:trPr>
          <w:trHeight w:val="161"/>
        </w:trPr>
        <w:tc>
          <w:tcPr>
            <w:tcW w:w="184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color w:val="auto"/>
              </w:rPr>
              <w:t>Name</w:t>
            </w:r>
          </w:p>
        </w:tc>
        <w:tc>
          <w:tcPr>
            <w:tcW w:w="52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Service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Benefit ($)</w:t>
            </w: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Last FY</w:t>
            </w:r>
          </w:p>
        </w:tc>
      </w:tr>
      <w:tr>
        <w:trPr>
          <w:trHeight w:val="150"/>
        </w:trPr>
        <w:tc>
          <w:tcPr>
            <w:tcW w:w="1840" w:type="dxa"/>
            <w:vAlign w:val="bottom"/>
            <w:tcBorders>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2"/>
                <w:szCs w:val="12"/>
                <w:b w:val="1"/>
                <w:bCs w:val="1"/>
                <w:color w:val="auto"/>
              </w:rPr>
              <w:t>(a)</w:t>
            </w:r>
          </w:p>
        </w:tc>
        <w:tc>
          <w:tcPr>
            <w:tcW w:w="5260" w:type="dxa"/>
            <w:vAlign w:val="bottom"/>
            <w:tcBorders>
              <w:bottom w:val="single" w:sz="8" w:color="auto"/>
              <w:right w:val="single" w:sz="8" w:color="auto"/>
            </w:tcBorders>
          </w:tcPr>
          <w:p>
            <w:pPr>
              <w:ind w:left="2240"/>
              <w:spacing w:after="0"/>
              <w:rPr>
                <w:sz w:val="20"/>
                <w:szCs w:val="20"/>
                <w:color w:val="auto"/>
              </w:rPr>
            </w:pPr>
            <w:r>
              <w:rPr>
                <w:rFonts w:ascii="Arial" w:cs="Arial" w:eastAsia="Arial" w:hAnsi="Arial"/>
                <w:sz w:val="12"/>
                <w:szCs w:val="12"/>
                <w:b w:val="1"/>
                <w:bCs w:val="1"/>
                <w:color w:val="auto"/>
              </w:rPr>
              <w:t>Plan Name (b)</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(c)1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(d)2</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(e)</w:t>
            </w:r>
          </w:p>
        </w:tc>
      </w:tr>
      <w:tr>
        <w:trPr>
          <w:trHeight w:val="153"/>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Donald E. Graham</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Retirement Plan for Washington Post Companies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42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2,016,909</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Washington Post Company Supplemental Executive Retirement Plan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42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1,351,136</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31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Pension Plan Benefits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3,368,045</w:t>
            </w:r>
          </w:p>
        </w:tc>
        <w:tc>
          <w:tcPr>
            <w:tcW w:w="760" w:type="dxa"/>
            <w:vAlign w:val="bottom"/>
            <w:tcBorders>
              <w:bottom w:val="single" w:sz="8" w:color="auto"/>
            </w:tcBorders>
          </w:tcPr>
          <w:p>
            <w:pPr>
              <w:jc w:val="center"/>
              <w:ind w:left="358"/>
              <w:spacing w:after="0"/>
              <w:rPr>
                <w:sz w:val="20"/>
                <w:szCs w:val="20"/>
                <w:color w:val="auto"/>
              </w:rPr>
            </w:pPr>
            <w:r>
              <w:rPr>
                <w:rFonts w:ascii="Arial" w:cs="Arial" w:eastAsia="Arial" w:hAnsi="Arial"/>
                <w:sz w:val="12"/>
                <w:szCs w:val="12"/>
                <w:color w:val="auto"/>
                <w:w w:val="89"/>
              </w:rPr>
              <w:t>–</w:t>
            </w:r>
          </w:p>
        </w:tc>
      </w:tr>
      <w:tr>
        <w:trPr>
          <w:trHeight w:val="153"/>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Hal S. Jones</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Retirement Plan for Washington Post Companies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882,230</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Washington Post Company Supplemental Executive Retirement Plan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3,896,337</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31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Pension Plan Benefits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4,778,567</w:t>
            </w:r>
          </w:p>
        </w:tc>
        <w:tc>
          <w:tcPr>
            <w:tcW w:w="760" w:type="dxa"/>
            <w:vAlign w:val="bottom"/>
            <w:tcBorders>
              <w:bottom w:val="single" w:sz="8" w:color="auto"/>
            </w:tcBorders>
          </w:tcPr>
          <w:p>
            <w:pPr>
              <w:jc w:val="center"/>
              <w:ind w:left="358"/>
              <w:spacing w:after="0"/>
              <w:rPr>
                <w:sz w:val="20"/>
                <w:szCs w:val="20"/>
                <w:color w:val="auto"/>
              </w:rPr>
            </w:pPr>
            <w:r>
              <w:rPr>
                <w:rFonts w:ascii="Arial" w:cs="Arial" w:eastAsia="Arial" w:hAnsi="Arial"/>
                <w:sz w:val="12"/>
                <w:szCs w:val="12"/>
                <w:color w:val="auto"/>
                <w:w w:val="89"/>
              </w:rPr>
              <w:t>–</w:t>
            </w:r>
          </w:p>
        </w:tc>
      </w:tr>
      <w:tr>
        <w:trPr>
          <w:trHeight w:val="153"/>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Gerald M. Rosberg</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Retirement Plan for Washington Post Companies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17</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870,822</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Washington Post Company Supplemental Executive Retirement Plan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17</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2,532,951</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31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Pension Plan Benefits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3,403,773</w:t>
            </w:r>
          </w:p>
        </w:tc>
        <w:tc>
          <w:tcPr>
            <w:tcW w:w="760" w:type="dxa"/>
            <w:vAlign w:val="bottom"/>
            <w:tcBorders>
              <w:bottom w:val="single" w:sz="8" w:color="auto"/>
            </w:tcBorders>
          </w:tcPr>
          <w:p>
            <w:pPr>
              <w:jc w:val="center"/>
              <w:ind w:left="358"/>
              <w:spacing w:after="0"/>
              <w:rPr>
                <w:sz w:val="20"/>
                <w:szCs w:val="20"/>
                <w:color w:val="auto"/>
              </w:rPr>
            </w:pPr>
            <w:r>
              <w:rPr>
                <w:rFonts w:ascii="Arial" w:cs="Arial" w:eastAsia="Arial" w:hAnsi="Arial"/>
                <w:sz w:val="12"/>
                <w:szCs w:val="12"/>
                <w:color w:val="auto"/>
                <w:w w:val="89"/>
              </w:rPr>
              <w:t>–</w:t>
            </w:r>
          </w:p>
        </w:tc>
      </w:tr>
      <w:tr>
        <w:trPr>
          <w:trHeight w:val="153"/>
        </w:trPr>
        <w:tc>
          <w:tcPr>
            <w:tcW w:w="1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Ann L. McDaniel</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Retirement Plan for Washington Post Companies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1,433,644</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Washington Post Company Supplemental Executive Retirement Plan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3,619,127</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31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Pension Plan Benefits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5,052,771</w:t>
            </w:r>
          </w:p>
        </w:tc>
        <w:tc>
          <w:tcPr>
            <w:tcW w:w="760" w:type="dxa"/>
            <w:vAlign w:val="bottom"/>
            <w:tcBorders>
              <w:bottom w:val="single" w:sz="8" w:color="auto"/>
            </w:tcBorders>
          </w:tcPr>
          <w:p>
            <w:pPr>
              <w:jc w:val="center"/>
              <w:ind w:left="358"/>
              <w:spacing w:after="0"/>
              <w:rPr>
                <w:sz w:val="20"/>
                <w:szCs w:val="20"/>
                <w:color w:val="auto"/>
              </w:rPr>
            </w:pPr>
            <w:r>
              <w:rPr>
                <w:rFonts w:ascii="Arial" w:cs="Arial" w:eastAsia="Arial" w:hAnsi="Arial"/>
                <w:sz w:val="12"/>
                <w:szCs w:val="12"/>
                <w:color w:val="auto"/>
                <w:w w:val="89"/>
              </w:rPr>
              <w:t>–</w:t>
            </w:r>
          </w:p>
        </w:tc>
      </w:tr>
      <w:tr>
        <w:trPr>
          <w:trHeight w:val="153"/>
        </w:trPr>
        <w:tc>
          <w:tcPr>
            <w:tcW w:w="18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Veronica Dillon</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Retirement Plan for Washington Post Companies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382,324</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161"/>
        </w:trPr>
        <w:tc>
          <w:tcPr>
            <w:tcW w:w="1840" w:type="dxa"/>
            <w:vAlign w:val="bottom"/>
            <w:tcBorders>
              <w:left w:val="single" w:sz="8" w:color="auto"/>
              <w:right w:val="single" w:sz="8" w:color="auto"/>
            </w:tcBorders>
          </w:tcPr>
          <w:p>
            <w:pPr>
              <w:spacing w:after="0"/>
              <w:rPr>
                <w:sz w:val="14"/>
                <w:szCs w:val="14"/>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Washington Post Company Supplemental Executive Retirement Plan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3,563,235</w:t>
            </w:r>
          </w:p>
        </w:tc>
        <w:tc>
          <w:tcPr>
            <w:tcW w:w="760" w:type="dxa"/>
            <w:vAlign w:val="bottom"/>
          </w:tcPr>
          <w:p>
            <w:pPr>
              <w:jc w:val="center"/>
              <w:ind w:left="358"/>
              <w:spacing w:after="0"/>
              <w:rPr>
                <w:sz w:val="20"/>
                <w:szCs w:val="20"/>
                <w:color w:val="auto"/>
              </w:rPr>
            </w:pPr>
            <w:r>
              <w:rPr>
                <w:rFonts w:ascii="Arial" w:cs="Arial" w:eastAsia="Arial" w:hAnsi="Arial"/>
                <w:sz w:val="12"/>
                <w:szCs w:val="12"/>
                <w:color w:val="auto"/>
                <w:w w:val="89"/>
              </w:rPr>
              <w:t>–</w:t>
            </w:r>
          </w:p>
        </w:tc>
      </w:tr>
      <w:tr>
        <w:trPr>
          <w:trHeight w:val="31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Pension Plan Benefits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3,945,559</w:t>
            </w:r>
          </w:p>
        </w:tc>
        <w:tc>
          <w:tcPr>
            <w:tcW w:w="760" w:type="dxa"/>
            <w:vAlign w:val="bottom"/>
            <w:tcBorders>
              <w:bottom w:val="single" w:sz="8" w:color="auto"/>
            </w:tcBorders>
          </w:tcPr>
          <w:p>
            <w:pPr>
              <w:jc w:val="center"/>
              <w:ind w:left="358"/>
              <w:spacing w:after="0"/>
              <w:rPr>
                <w:sz w:val="20"/>
                <w:szCs w:val="20"/>
                <w:color w:val="auto"/>
              </w:rPr>
            </w:pPr>
            <w:r>
              <w:rPr>
                <w:rFonts w:ascii="Arial" w:cs="Arial" w:eastAsia="Arial" w:hAnsi="Arial"/>
                <w:sz w:val="12"/>
                <w:szCs w:val="12"/>
                <w:color w:val="auto"/>
                <w:w w:val="89"/>
              </w:rPr>
              <w:t>–</w:t>
            </w:r>
          </w:p>
        </w:tc>
      </w:tr>
    </w:tbl>
    <w:p>
      <w:pPr>
        <w:spacing w:after="0" w:line="190" w:lineRule="exact"/>
        <w:rPr>
          <w:sz w:val="20"/>
          <w:szCs w:val="20"/>
          <w:color w:val="auto"/>
        </w:rPr>
      </w:pPr>
    </w:p>
    <w:p>
      <w:pPr>
        <w:jc w:val="both"/>
        <w:ind w:left="229" w:hanging="229"/>
        <w:spacing w:after="0" w:line="287" w:lineRule="auto"/>
        <w:tabs>
          <w:tab w:leader="none" w:pos="209" w:val="left"/>
        </w:tabs>
        <w:numPr>
          <w:ilvl w:val="0"/>
          <w:numId w:val="37"/>
        </w:numPr>
        <w:rPr>
          <w:rFonts w:ascii="Arial" w:cs="Arial" w:eastAsia="Arial" w:hAnsi="Arial"/>
          <w:sz w:val="11"/>
          <w:szCs w:val="11"/>
          <w:color w:val="auto"/>
        </w:rPr>
      </w:pPr>
      <w:r>
        <w:rPr>
          <w:rFonts w:ascii="Arial" w:cs="Arial" w:eastAsia="Arial" w:hAnsi="Arial"/>
          <w:sz w:val="11"/>
          <w:szCs w:val="11"/>
          <w:color w:val="auto"/>
        </w:rPr>
        <w:t>Data in this column represents the number of years of credited service earned by the named executive officer as of December 31, 2012. During a review of historical documents, a mistake in Mr. Graham’s years of ser related to the pension plan was discovered and corrected. Under the previous calculation, a portion of Mr. Graham’s pension service had been incorrectly attributed to the Post’s Profit Sharing Plan. The review revea Mr. Graham was never a participant in that Plan. Ms. McDaniel has prior service with Newsweek, and Mr. Jones and Ms. Dillon have prior service with Kaplan, which are all included in this column.</w:t>
      </w:r>
    </w:p>
    <w:p>
      <w:pPr>
        <w:spacing w:after="0" w:line="92" w:lineRule="exact"/>
        <w:rPr>
          <w:rFonts w:ascii="Arial" w:cs="Arial" w:eastAsia="Arial" w:hAnsi="Arial"/>
          <w:sz w:val="11"/>
          <w:szCs w:val="11"/>
          <w:color w:val="auto"/>
        </w:rPr>
      </w:pPr>
    </w:p>
    <w:p>
      <w:pPr>
        <w:ind w:left="229" w:hanging="229"/>
        <w:spacing w:after="0" w:line="278" w:lineRule="auto"/>
        <w:tabs>
          <w:tab w:leader="none" w:pos="209" w:val="left"/>
        </w:tabs>
        <w:numPr>
          <w:ilvl w:val="0"/>
          <w:numId w:val="37"/>
        </w:numPr>
        <w:rPr>
          <w:rFonts w:ascii="Arial" w:cs="Arial" w:eastAsia="Arial" w:hAnsi="Arial"/>
          <w:sz w:val="11"/>
          <w:szCs w:val="11"/>
          <w:color w:val="auto"/>
        </w:rPr>
      </w:pPr>
      <w:r>
        <w:rPr>
          <w:rFonts w:ascii="Arial" w:cs="Arial" w:eastAsia="Arial" w:hAnsi="Arial"/>
          <w:sz w:val="11"/>
          <w:szCs w:val="11"/>
          <w:color w:val="auto"/>
        </w:rPr>
        <w:t>Amounts in this column represent the actuarial present value of the named executive officer’s accumulated benefits under the plan as of December 31, 2012. The benefits valued for Mr. Graham include TWPC and SR amounts. The benefits valued for Ms. McDaniel include TWPC and Newsweek amounts. The benefits valued for Mr. Jones and Ms. Dillon include TWPC and Kaplan Cash Balance amounts. The assumptions used in determining the present value of accumulated benefits are the RP-2000 Fully Generational Mortality Table for males and females and a 4.00% discount rate. The benefits valued reflect service and earnings through December 31, 2012, and are valued as payable on the date at which they are unreduced. There can be no assurance that the amounts listed in this column will ever be fully paid out to the applicable named executive o</w:t>
      </w:r>
    </w:p>
    <w:p>
      <w:pPr>
        <w:spacing w:after="0" w:line="155" w:lineRule="exact"/>
        <w:rPr>
          <w:sz w:val="20"/>
          <w:szCs w:val="20"/>
          <w:color w:val="auto"/>
        </w:rPr>
      </w:pPr>
    </w:p>
    <w:p>
      <w:pPr>
        <w:ind w:left="9" w:firstLine="709"/>
        <w:spacing w:after="0" w:line="306" w:lineRule="auto"/>
        <w:rPr>
          <w:sz w:val="20"/>
          <w:szCs w:val="20"/>
          <w:color w:val="auto"/>
        </w:rPr>
      </w:pPr>
      <w:r>
        <w:rPr>
          <w:rFonts w:ascii="Arial" w:cs="Arial" w:eastAsia="Arial" w:hAnsi="Arial"/>
          <w:sz w:val="14"/>
          <w:szCs w:val="14"/>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 excess of the annual covered compensation limit applied to qualified plan benefits. The executive is required to make contributions to the SERP in order to receive th applicable matching Company credit each year. The Deferred Compensation Plan provides an opportunity for participants to elect to defer the receipt of all or a porti cash awards under the annual and/or long-term components of the Incentive Compensation Plan. Elections to defer must be filed in advance of earning such awards. Deferred amounts under both plans will earn investment credits in accordance with the participant’s elections from a choice of investment indexes. Amounts deferred the SERP are payable on the first day of the seventh month following termination of service. Amounts deferred under the Deferred Compensation Plan are payable o first business day of the seventh month following the date of separation from service or such other future date as specified by the participant at the time of election.</w:t>
      </w:r>
    </w:p>
    <w:p>
      <w:pPr>
        <w:spacing w:after="0" w:line="17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42" w:right="139" w:bottom="1440" w:gutter="0" w:footer="0" w:header="0"/>
        </w:sectPr>
      </w:pPr>
    </w:p>
    <w:bookmarkStart w:id="31" w:name="page32"/>
    <w:bookmarkEnd w:id="31"/>
    <w:p>
      <w:pPr>
        <w:ind w:left="3889"/>
        <w:spacing w:after="0"/>
        <w:rPr>
          <w:sz w:val="20"/>
          <w:szCs w:val="20"/>
          <w:color w:val="auto"/>
        </w:rPr>
      </w:pPr>
      <w:r>
        <w:rPr>
          <w:rFonts w:ascii="Arial" w:cs="Arial" w:eastAsia="Arial" w:hAnsi="Arial"/>
          <w:sz w:val="17"/>
          <w:szCs w:val="17"/>
          <w:b w:val="1"/>
          <w:bCs w:val="1"/>
          <w:color w:val="auto"/>
        </w:rPr>
        <w:t>NONQUALIFIED DEFERRED COMPENSATION</w:t>
      </w:r>
    </w:p>
    <w:p>
      <w:pPr>
        <w:spacing w:after="0" w:line="198" w:lineRule="exact"/>
        <w:rPr>
          <w:sz w:val="20"/>
          <w:szCs w:val="20"/>
          <w:color w:val="auto"/>
        </w:rPr>
      </w:pPr>
    </w:p>
    <w:tbl>
      <w:tblPr>
        <w:tblLayout w:type="fixed"/>
        <w:tblInd w:w="19" w:type="dxa"/>
        <w:tblCellMar>
          <w:top w:w="0" w:type="dxa"/>
          <w:left w:w="0" w:type="dxa"/>
          <w:bottom w:w="0" w:type="dxa"/>
          <w:right w:w="0" w:type="dxa"/>
        </w:tblCellMar>
      </w:tblPr>
      <w:tr>
        <w:trPr>
          <w:trHeight w:val="222"/>
        </w:trPr>
        <w:tc>
          <w:tcPr>
            <w:tcW w:w="2520" w:type="dxa"/>
            <w:vAlign w:val="bottom"/>
            <w:tcBorders>
              <w:top w:val="single" w:sz="8" w:color="auto"/>
              <w:left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Executive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Registrant</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Aggregate</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Aggregate</w:t>
            </w:r>
          </w:p>
        </w:tc>
        <w:tc>
          <w:tcPr>
            <w:tcW w:w="1220" w:type="dxa"/>
            <w:vAlign w:val="bottom"/>
            <w:tcBorders>
              <w:top w:val="single" w:sz="8" w:color="auto"/>
            </w:tcBorders>
          </w:tcPr>
          <w:p>
            <w:pPr>
              <w:jc w:val="center"/>
              <w:ind w:left="378"/>
              <w:spacing w:after="0"/>
              <w:rPr>
                <w:sz w:val="20"/>
                <w:szCs w:val="20"/>
                <w:color w:val="auto"/>
              </w:rPr>
            </w:pPr>
            <w:r>
              <w:rPr>
                <w:rFonts w:ascii="Arial" w:cs="Arial" w:eastAsia="Arial" w:hAnsi="Arial"/>
                <w:sz w:val="12"/>
                <w:szCs w:val="12"/>
                <w:b w:val="1"/>
                <w:bCs w:val="1"/>
                <w:color w:val="auto"/>
                <w:w w:val="90"/>
              </w:rPr>
              <w:t>Aggregate</w:t>
            </w:r>
          </w:p>
        </w:tc>
      </w:tr>
      <w:tr>
        <w:trPr>
          <w:trHeight w:val="186"/>
        </w:trPr>
        <w:tc>
          <w:tcPr>
            <w:tcW w:w="252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Contributions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Contributions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Earnings in</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Withdrawals/</w:t>
            </w:r>
          </w:p>
        </w:tc>
        <w:tc>
          <w:tcPr>
            <w:tcW w:w="1220" w:type="dxa"/>
            <w:vAlign w:val="bottom"/>
          </w:tcPr>
          <w:p>
            <w:pPr>
              <w:jc w:val="center"/>
              <w:ind w:left="398"/>
              <w:spacing w:after="0"/>
              <w:rPr>
                <w:sz w:val="20"/>
                <w:szCs w:val="20"/>
                <w:color w:val="auto"/>
              </w:rPr>
            </w:pPr>
            <w:r>
              <w:rPr>
                <w:rFonts w:ascii="Arial" w:cs="Arial" w:eastAsia="Arial" w:hAnsi="Arial"/>
                <w:sz w:val="12"/>
                <w:szCs w:val="12"/>
                <w:b w:val="1"/>
                <w:bCs w:val="1"/>
                <w:color w:val="auto"/>
                <w:w w:val="93"/>
              </w:rPr>
              <w:t>Balance at</w:t>
            </w:r>
          </w:p>
        </w:tc>
      </w:tr>
      <w:tr>
        <w:trPr>
          <w:trHeight w:val="158"/>
        </w:trPr>
        <w:tc>
          <w:tcPr>
            <w:tcW w:w="2520" w:type="dxa"/>
            <w:vAlign w:val="bottom"/>
            <w:tcBorders>
              <w:left w:val="single" w:sz="8" w:color="auto"/>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in Last FY ($)</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in Last FY ($)</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Last FY ($)</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Distributions ($)</w:t>
            </w:r>
          </w:p>
        </w:tc>
        <w:tc>
          <w:tcPr>
            <w:tcW w:w="1220" w:type="dxa"/>
            <w:vAlign w:val="bottom"/>
          </w:tcPr>
          <w:p>
            <w:pPr>
              <w:jc w:val="center"/>
              <w:ind w:left="398"/>
              <w:spacing w:after="0"/>
              <w:rPr>
                <w:sz w:val="20"/>
                <w:szCs w:val="20"/>
                <w:color w:val="auto"/>
              </w:rPr>
            </w:pPr>
            <w:r>
              <w:rPr>
                <w:rFonts w:ascii="Arial" w:cs="Arial" w:eastAsia="Arial" w:hAnsi="Arial"/>
                <w:sz w:val="12"/>
                <w:szCs w:val="12"/>
                <w:b w:val="1"/>
                <w:bCs w:val="1"/>
                <w:color w:val="auto"/>
                <w:w w:val="97"/>
              </w:rPr>
              <w:t>last FYE ($)</w:t>
            </w:r>
          </w:p>
        </w:tc>
      </w:tr>
      <w:tr>
        <w:trPr>
          <w:trHeight w:val="179"/>
        </w:trPr>
        <w:tc>
          <w:tcPr>
            <w:tcW w:w="25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2"/>
                <w:szCs w:val="12"/>
                <w:b w:val="1"/>
                <w:bCs w:val="1"/>
                <w:color w:val="auto"/>
              </w:rPr>
              <w:t>Name (a)</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87"/>
              </w:rPr>
              <w:t>(b)</w:t>
            </w:r>
            <w:r>
              <w:rPr>
                <w:rFonts w:ascii="Arial" w:cs="Arial" w:eastAsia="Arial" w:hAnsi="Arial"/>
                <w:sz w:val="20"/>
                <w:szCs w:val="20"/>
                <w:b w:val="1"/>
                <w:bCs w:val="1"/>
                <w:color w:val="auto"/>
                <w:w w:val="87"/>
                <w:vertAlign w:val="superscript"/>
              </w:rPr>
              <w:t>1</w:t>
            </w:r>
          </w:p>
        </w:tc>
        <w:tc>
          <w:tcPr>
            <w:tcW w:w="18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90"/>
              </w:rPr>
              <w:t>(c)</w:t>
            </w:r>
            <w:r>
              <w:rPr>
                <w:rFonts w:ascii="Arial" w:cs="Arial" w:eastAsia="Arial" w:hAnsi="Arial"/>
                <w:sz w:val="20"/>
                <w:szCs w:val="20"/>
                <w:b w:val="1"/>
                <w:bCs w:val="1"/>
                <w:color w:val="auto"/>
                <w:w w:val="90"/>
                <w:vertAlign w:val="superscript"/>
              </w:rPr>
              <w:t>2</w:t>
            </w:r>
          </w:p>
        </w:tc>
        <w:tc>
          <w:tcPr>
            <w:tcW w:w="18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87"/>
              </w:rPr>
              <w:t>(d)</w:t>
            </w:r>
            <w:r>
              <w:rPr>
                <w:rFonts w:ascii="Arial" w:cs="Arial" w:eastAsia="Arial" w:hAnsi="Arial"/>
                <w:sz w:val="20"/>
                <w:szCs w:val="20"/>
                <w:b w:val="1"/>
                <w:bCs w:val="1"/>
                <w:color w:val="auto"/>
                <w:w w:val="87"/>
                <w:vertAlign w:val="superscript"/>
              </w:rPr>
              <w:t>3</w:t>
            </w:r>
          </w:p>
        </w:tc>
        <w:tc>
          <w:tcPr>
            <w:tcW w:w="17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w w:val="81"/>
              </w:rPr>
              <w:t>(e)</w:t>
            </w:r>
            <w:r>
              <w:rPr>
                <w:rFonts w:ascii="Arial" w:cs="Arial" w:eastAsia="Arial" w:hAnsi="Arial"/>
                <w:sz w:val="20"/>
                <w:szCs w:val="20"/>
                <w:b w:val="1"/>
                <w:bCs w:val="1"/>
                <w:color w:val="auto"/>
                <w:w w:val="81"/>
                <w:vertAlign w:val="superscript"/>
              </w:rPr>
              <w:t>4</w:t>
            </w:r>
          </w:p>
        </w:tc>
        <w:tc>
          <w:tcPr>
            <w:tcW w:w="1220" w:type="dxa"/>
            <w:vAlign w:val="bottom"/>
            <w:tcBorders>
              <w:bottom w:val="single" w:sz="8" w:color="auto"/>
            </w:tcBorders>
          </w:tcPr>
          <w:p>
            <w:pPr>
              <w:jc w:val="center"/>
              <w:ind w:left="378"/>
              <w:spacing w:after="0" w:line="179" w:lineRule="exact"/>
              <w:rPr>
                <w:sz w:val="20"/>
                <w:szCs w:val="20"/>
                <w:color w:val="auto"/>
              </w:rPr>
            </w:pPr>
            <w:r>
              <w:rPr>
                <w:rFonts w:ascii="Arial" w:cs="Arial" w:eastAsia="Arial" w:hAnsi="Arial"/>
                <w:sz w:val="12"/>
                <w:szCs w:val="12"/>
                <w:b w:val="1"/>
                <w:bCs w:val="1"/>
                <w:color w:val="auto"/>
                <w:w w:val="92"/>
              </w:rPr>
              <w:t>(f)</w:t>
            </w:r>
            <w:r>
              <w:rPr>
                <w:rFonts w:ascii="Arial" w:cs="Arial" w:eastAsia="Arial" w:hAnsi="Arial"/>
                <w:sz w:val="20"/>
                <w:szCs w:val="20"/>
                <w:b w:val="1"/>
                <w:bCs w:val="1"/>
                <w:color w:val="auto"/>
                <w:w w:val="92"/>
                <w:vertAlign w:val="superscript"/>
              </w:rPr>
              <w:t>5</w:t>
            </w:r>
          </w:p>
        </w:tc>
      </w:tr>
      <w:tr>
        <w:trPr>
          <w:trHeight w:val="129"/>
        </w:trPr>
        <w:tc>
          <w:tcPr>
            <w:tcW w:w="25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Donald E. Graham</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center"/>
              <w:ind w:left="378"/>
              <w:spacing w:after="0" w:line="129" w:lineRule="exact"/>
              <w:rPr>
                <w:sz w:val="20"/>
                <w:szCs w:val="20"/>
                <w:color w:val="auto"/>
              </w:rPr>
            </w:pPr>
            <w:r>
              <w:rPr>
                <w:rFonts w:ascii="Arial" w:cs="Arial" w:eastAsia="Arial" w:hAnsi="Arial"/>
                <w:sz w:val="12"/>
                <w:szCs w:val="12"/>
                <w:color w:val="auto"/>
                <w:w w:val="89"/>
              </w:rPr>
              <w:t>–</w:t>
            </w:r>
          </w:p>
        </w:tc>
      </w:tr>
      <w:tr>
        <w:trPr>
          <w:trHeight w:val="129"/>
        </w:trPr>
        <w:tc>
          <w:tcPr>
            <w:tcW w:w="25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Hal S. Jones</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18,000</w:t>
            </w:r>
          </w:p>
        </w:tc>
        <w:tc>
          <w:tcPr>
            <w:tcW w:w="1820" w:type="dxa"/>
            <w:vAlign w:val="bottom"/>
            <w:tcBorders>
              <w:bottom w:val="single" w:sz="8" w:color="auto"/>
              <w:right w:val="single" w:sz="8" w:color="auto"/>
            </w:tcBorders>
          </w:tcPr>
          <w:p>
            <w:pPr>
              <w:jc w:val="center"/>
              <w:ind w:right="18"/>
              <w:spacing w:after="0" w:line="129" w:lineRule="exact"/>
              <w:rPr>
                <w:sz w:val="20"/>
                <w:szCs w:val="20"/>
                <w:color w:val="auto"/>
              </w:rPr>
            </w:pPr>
            <w:r>
              <w:rPr>
                <w:rFonts w:ascii="Arial" w:cs="Arial" w:eastAsia="Arial" w:hAnsi="Arial"/>
                <w:sz w:val="12"/>
                <w:szCs w:val="12"/>
                <w:color w:val="auto"/>
                <w:w w:val="92"/>
              </w:rPr>
              <w:t>23,400</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196,429</w:t>
            </w:r>
          </w:p>
        </w:tc>
        <w:tc>
          <w:tcPr>
            <w:tcW w:w="17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center"/>
              <w:ind w:left="378"/>
              <w:spacing w:after="0" w:line="129" w:lineRule="exact"/>
              <w:rPr>
                <w:sz w:val="20"/>
                <w:szCs w:val="20"/>
                <w:color w:val="auto"/>
              </w:rPr>
            </w:pPr>
            <w:r>
              <w:rPr>
                <w:rFonts w:ascii="Arial" w:cs="Arial" w:eastAsia="Arial" w:hAnsi="Arial"/>
                <w:sz w:val="12"/>
                <w:szCs w:val="12"/>
                <w:color w:val="auto"/>
                <w:w w:val="93"/>
              </w:rPr>
              <w:t>1,709,345</w:t>
            </w:r>
          </w:p>
        </w:tc>
      </w:tr>
      <w:tr>
        <w:trPr>
          <w:trHeight w:val="129"/>
        </w:trPr>
        <w:tc>
          <w:tcPr>
            <w:tcW w:w="25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Gerald M. Rosberg</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13,690</w:t>
            </w:r>
          </w:p>
        </w:tc>
        <w:tc>
          <w:tcPr>
            <w:tcW w:w="1820" w:type="dxa"/>
            <w:vAlign w:val="bottom"/>
            <w:tcBorders>
              <w:bottom w:val="single" w:sz="8" w:color="auto"/>
              <w:right w:val="single" w:sz="8" w:color="auto"/>
            </w:tcBorders>
          </w:tcPr>
          <w:p>
            <w:pPr>
              <w:jc w:val="center"/>
              <w:ind w:right="18"/>
              <w:spacing w:after="0" w:line="129" w:lineRule="exact"/>
              <w:rPr>
                <w:sz w:val="20"/>
                <w:szCs w:val="20"/>
                <w:color w:val="auto"/>
              </w:rPr>
            </w:pPr>
            <w:r>
              <w:rPr>
                <w:rFonts w:ascii="Arial" w:cs="Arial" w:eastAsia="Arial" w:hAnsi="Arial"/>
                <w:sz w:val="12"/>
                <w:szCs w:val="12"/>
                <w:color w:val="auto"/>
                <w:w w:val="92"/>
              </w:rPr>
              <w:t>17,797</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52,739</w:t>
            </w:r>
          </w:p>
        </w:tc>
        <w:tc>
          <w:tcPr>
            <w:tcW w:w="17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3"/>
              </w:rPr>
              <w:t>(724,075)</w:t>
            </w:r>
          </w:p>
        </w:tc>
        <w:tc>
          <w:tcPr>
            <w:tcW w:w="12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358,406</w:t>
            </w:r>
          </w:p>
        </w:tc>
      </w:tr>
      <w:tr>
        <w:trPr>
          <w:trHeight w:val="129"/>
        </w:trPr>
        <w:tc>
          <w:tcPr>
            <w:tcW w:w="25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Ann L. McDaniel</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80,053</w:t>
            </w:r>
          </w:p>
        </w:tc>
        <w:tc>
          <w:tcPr>
            <w:tcW w:w="1820" w:type="dxa"/>
            <w:vAlign w:val="bottom"/>
            <w:tcBorders>
              <w:bottom w:val="single" w:sz="8" w:color="auto"/>
              <w:right w:val="single" w:sz="8" w:color="auto"/>
            </w:tcBorders>
          </w:tcPr>
          <w:p>
            <w:pPr>
              <w:jc w:val="center"/>
              <w:ind w:right="18"/>
              <w:spacing w:after="0" w:line="129" w:lineRule="exact"/>
              <w:rPr>
                <w:sz w:val="20"/>
                <w:szCs w:val="20"/>
                <w:color w:val="auto"/>
              </w:rPr>
            </w:pPr>
            <w:r>
              <w:rPr>
                <w:rFonts w:ascii="Arial" w:cs="Arial" w:eastAsia="Arial" w:hAnsi="Arial"/>
                <w:sz w:val="12"/>
                <w:szCs w:val="12"/>
                <w:color w:val="auto"/>
                <w:w w:val="92"/>
              </w:rPr>
              <w:t>17,797</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83,903</w:t>
            </w:r>
          </w:p>
        </w:tc>
        <w:tc>
          <w:tcPr>
            <w:tcW w:w="17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989,564</w:t>
            </w:r>
          </w:p>
        </w:tc>
      </w:tr>
      <w:tr>
        <w:trPr>
          <w:trHeight w:val="129"/>
        </w:trPr>
        <w:tc>
          <w:tcPr>
            <w:tcW w:w="252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2"/>
                <w:szCs w:val="12"/>
                <w:color w:val="auto"/>
              </w:rPr>
              <w:t>Veronica Dillon</w:t>
            </w:r>
          </w:p>
        </w:tc>
        <w:tc>
          <w:tcPr>
            <w:tcW w:w="18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13,690</w:t>
            </w:r>
          </w:p>
        </w:tc>
        <w:tc>
          <w:tcPr>
            <w:tcW w:w="1820" w:type="dxa"/>
            <w:vAlign w:val="bottom"/>
            <w:tcBorders>
              <w:bottom w:val="single" w:sz="8" w:color="auto"/>
              <w:right w:val="single" w:sz="8" w:color="auto"/>
            </w:tcBorders>
          </w:tcPr>
          <w:p>
            <w:pPr>
              <w:jc w:val="center"/>
              <w:ind w:right="18"/>
              <w:spacing w:after="0" w:line="129" w:lineRule="exact"/>
              <w:rPr>
                <w:sz w:val="20"/>
                <w:szCs w:val="20"/>
                <w:color w:val="auto"/>
              </w:rPr>
            </w:pPr>
            <w:r>
              <w:rPr>
                <w:rFonts w:ascii="Arial" w:cs="Arial" w:eastAsia="Arial" w:hAnsi="Arial"/>
                <w:sz w:val="12"/>
                <w:szCs w:val="12"/>
                <w:color w:val="auto"/>
                <w:w w:val="92"/>
              </w:rPr>
              <w:t>17,797</w:t>
            </w:r>
          </w:p>
        </w:tc>
        <w:tc>
          <w:tcPr>
            <w:tcW w:w="1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92"/>
              </w:rPr>
              <w:t>15,722</w:t>
            </w:r>
          </w:p>
        </w:tc>
        <w:tc>
          <w:tcPr>
            <w:tcW w:w="17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center"/>
              <w:ind w:left="358"/>
              <w:spacing w:after="0" w:line="129" w:lineRule="exact"/>
              <w:rPr>
                <w:sz w:val="20"/>
                <w:szCs w:val="20"/>
                <w:color w:val="auto"/>
              </w:rPr>
            </w:pPr>
            <w:r>
              <w:rPr>
                <w:rFonts w:ascii="Arial" w:cs="Arial" w:eastAsia="Arial" w:hAnsi="Arial"/>
                <w:sz w:val="12"/>
                <w:szCs w:val="12"/>
                <w:color w:val="auto"/>
                <w:w w:val="92"/>
              </w:rPr>
              <w:t>196,589</w:t>
            </w:r>
          </w:p>
        </w:tc>
      </w:tr>
    </w:tbl>
    <w:p>
      <w:pPr>
        <w:spacing w:after="0" w:line="190" w:lineRule="exact"/>
        <w:rPr>
          <w:sz w:val="20"/>
          <w:szCs w:val="20"/>
          <w:color w:val="auto"/>
        </w:rPr>
      </w:pPr>
    </w:p>
    <w:p>
      <w:pPr>
        <w:jc w:val="both"/>
        <w:ind w:left="229" w:right="20" w:hanging="229"/>
        <w:spacing w:after="0" w:line="253" w:lineRule="auto"/>
        <w:tabs>
          <w:tab w:leader="none" w:pos="213"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in this column represent contributions by the named executive officer to the SERP and to the Deferred Compensation Plan as follows: Mr. Jones – $18,000 to the SERP; Mr. Rosberg – $13,690 to the SERP; Ms. McDaniel – $13,690 to the SERP and $66,363 to Deferred Compensation Plan; Ms. Dillon – $13,690 to the SERP. Executive contributions to the Deferred Compensation Plan are included in the Salary and Non-Incentive Plan Compensation columns of the Summary Compensation Table.</w:t>
      </w:r>
    </w:p>
    <w:p>
      <w:pPr>
        <w:spacing w:after="0" w:line="109" w:lineRule="exact"/>
        <w:rPr>
          <w:rFonts w:ascii="Arial" w:cs="Arial" w:eastAsia="Arial" w:hAnsi="Arial"/>
          <w:sz w:val="12"/>
          <w:szCs w:val="12"/>
          <w:color w:val="auto"/>
        </w:rPr>
      </w:pPr>
    </w:p>
    <w:p>
      <w:pPr>
        <w:ind w:left="209" w:hanging="209"/>
        <w:spacing w:after="0"/>
        <w:tabs>
          <w:tab w:leader="none" w:pos="209"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Company matching credits to the SERP are included in column (h) in the Summary Compensation Table for fiscal year 2012.</w:t>
      </w:r>
    </w:p>
    <w:p>
      <w:pPr>
        <w:spacing w:after="0" w:line="135" w:lineRule="exact"/>
        <w:rPr>
          <w:rFonts w:ascii="Arial" w:cs="Arial" w:eastAsia="Arial" w:hAnsi="Arial"/>
          <w:sz w:val="12"/>
          <w:szCs w:val="12"/>
          <w:color w:val="auto"/>
        </w:rPr>
      </w:pPr>
    </w:p>
    <w:p>
      <w:pPr>
        <w:jc w:val="both"/>
        <w:ind w:left="229" w:hanging="229"/>
        <w:spacing w:after="0" w:line="287" w:lineRule="auto"/>
        <w:tabs>
          <w:tab w:leader="none" w:pos="213" w:val="left"/>
        </w:tabs>
        <w:numPr>
          <w:ilvl w:val="0"/>
          <w:numId w:val="38"/>
        </w:numPr>
        <w:rPr>
          <w:rFonts w:ascii="Arial" w:cs="Arial" w:eastAsia="Arial" w:hAnsi="Arial"/>
          <w:sz w:val="11"/>
          <w:szCs w:val="11"/>
          <w:color w:val="auto"/>
        </w:rPr>
      </w:pPr>
      <w:r>
        <w:rPr>
          <w:rFonts w:ascii="Arial" w:cs="Arial" w:eastAsia="Arial" w:hAnsi="Arial"/>
          <w:sz w:val="11"/>
          <w:szCs w:val="11"/>
          <w:color w:val="auto"/>
        </w:rPr>
        <w:t>Amounts in this column represent investment gains or losses to the SERP and to the Deferred Compensation Plans based on the named executive officer’s investment elections as follows: Mr. Jones – $37,046 to the S $159,383 to Deferred Compensation Plan; Mr. Rosberg – $49,652 to the SERP and $3,087 to Deferred Compensation Plan; Ms. McDaniel – $36,923 to the SERP and $46,981 to Deferred Compensation Plan; Ms. Dil $15,722 to the SERP. These gains and losses are not included in the Summary Compensation Table; the gains and losses reflect market performance of investment indexes selected by the named executive officer.</w:t>
      </w:r>
    </w:p>
    <w:p>
      <w:pPr>
        <w:spacing w:after="0" w:line="92" w:lineRule="exact"/>
        <w:rPr>
          <w:rFonts w:ascii="Arial" w:cs="Arial" w:eastAsia="Arial" w:hAnsi="Arial"/>
          <w:sz w:val="11"/>
          <w:szCs w:val="11"/>
          <w:color w:val="auto"/>
        </w:rPr>
      </w:pPr>
    </w:p>
    <w:p>
      <w:pPr>
        <w:ind w:left="209" w:hanging="209"/>
        <w:spacing w:after="0"/>
        <w:tabs>
          <w:tab w:leader="none" w:pos="209"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in this column represent payments from the SERP and the Deferred Compensation Plans as follows: Mr. Rosberg – $724,075 from Deferred Compensation Plan.</w:t>
      </w:r>
    </w:p>
    <w:p>
      <w:pPr>
        <w:spacing w:after="0" w:line="135" w:lineRule="exact"/>
        <w:rPr>
          <w:rFonts w:ascii="Arial" w:cs="Arial" w:eastAsia="Arial" w:hAnsi="Arial"/>
          <w:sz w:val="12"/>
          <w:szCs w:val="12"/>
          <w:color w:val="auto"/>
        </w:rPr>
      </w:pPr>
    </w:p>
    <w:p>
      <w:pPr>
        <w:jc w:val="both"/>
        <w:ind w:left="229" w:hanging="229"/>
        <w:spacing w:after="0" w:line="248" w:lineRule="auto"/>
        <w:tabs>
          <w:tab w:leader="none" w:pos="213"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in this column represent balances at December 31, 2012, for the SERP and Deferred Compensation Plan as follows: Mr. Jones – $285,122 in the SERP and $1,424,223 in deferred compensation; Mr. Rosberg $358,406 in the SERP; Ms. McDaniel – $297,451 in the SERP and $692,113 in deferred compensation; Ms. Dillon – $196,589 in the SERP. The following amounts were reported as compensation to the named execut the Summary Compensation Table for years beginning after 2007 (excluding 2012): Mr. Rosberg – $415,520 and Ms. McDaniel – $668,110; and for years beginning after 2008 (excluding 2012): Mr. Jones – $108,100 Dillon – $83,260.</w:t>
      </w:r>
    </w:p>
    <w:p>
      <w:pPr>
        <w:spacing w:after="0" w:line="167"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AUDIT COMMITTEE REPORT</w:t>
      </w:r>
    </w:p>
    <w:p>
      <w:pPr>
        <w:spacing w:after="0" w:line="206" w:lineRule="exact"/>
        <w:rPr>
          <w:sz w:val="20"/>
          <w:szCs w:val="20"/>
          <w:color w:val="auto"/>
        </w:rPr>
      </w:pPr>
    </w:p>
    <w:p>
      <w:pPr>
        <w:jc w:val="both"/>
        <w:ind w:left="9" w:firstLine="709"/>
        <w:spacing w:after="0" w:line="308" w:lineRule="auto"/>
        <w:rPr>
          <w:sz w:val="20"/>
          <w:szCs w:val="20"/>
          <w:color w:val="auto"/>
        </w:rPr>
      </w:pPr>
      <w:r>
        <w:rPr>
          <w:rFonts w:ascii="Arial" w:cs="Arial" w:eastAsia="Arial" w:hAnsi="Arial"/>
          <w:sz w:val="14"/>
          <w:szCs w:val="14"/>
          <w:color w:val="auto"/>
        </w:rPr>
        <w:t>One of the standing committees of the Board of Directors of the Company is the Audit Committee. Currently there are three non-employee members of the on the Audit Committee: Christopher C. Davis, Thomas S. Gayner, who serves as Chairman of the Audit Committee, and G. Richard Wagoner, Jr. The Audit Commit operates under a delegation of authority from the Board of Directors, which has determined that each Committee member is “independent” under the listing standards New York Stock Exchange. Specifically, the Board determined that none of the members of the Audit Committee (or any immediate family member) (i) had been em by or affiliated with the Company within the past three years, (ii) received any compensation from the Company other than Director and committee fees, (iii) is an ex officer of a company that makes payments to or receives payments from the Company in an amount that exceeds the greater of $1 million or 2% of such other compa consolidated gross revenues within the past three years or (iv) has a material relationship with the Company.</w:t>
      </w:r>
    </w:p>
    <w:p>
      <w:pPr>
        <w:spacing w:after="0" w:line="142" w:lineRule="exact"/>
        <w:rPr>
          <w:sz w:val="20"/>
          <w:szCs w:val="20"/>
          <w:color w:val="auto"/>
        </w:rPr>
      </w:pPr>
    </w:p>
    <w:p>
      <w:pPr>
        <w:ind w:left="9" w:firstLine="709"/>
        <w:spacing w:after="0" w:line="308" w:lineRule="auto"/>
        <w:rPr>
          <w:sz w:val="20"/>
          <w:szCs w:val="20"/>
          <w:color w:val="auto"/>
        </w:rPr>
      </w:pPr>
      <w:r>
        <w:rPr>
          <w:rFonts w:ascii="Arial" w:cs="Arial" w:eastAsia="Arial" w:hAnsi="Arial"/>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 for auditing those financial statements in accordance with auditing standards generally accepted in the United States of America and for issuing a report thereon. In th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 financial statements have been prepared with integrity and objectivity and in conformity with generally accepted accounting principles in the United States of Americ (ii) the representations of PricewaterhouseCoopers LLP included in their report on the Company’s financial statements.</w:t>
      </w:r>
    </w:p>
    <w:p>
      <w:pPr>
        <w:spacing w:after="0" w:line="142" w:lineRule="exact"/>
        <w:rPr>
          <w:sz w:val="20"/>
          <w:szCs w:val="20"/>
          <w:color w:val="auto"/>
        </w:rPr>
      </w:pPr>
    </w:p>
    <w:p>
      <w:pPr>
        <w:ind w:left="9" w:firstLine="709"/>
        <w:spacing w:after="0" w:line="264" w:lineRule="auto"/>
        <w:rPr>
          <w:sz w:val="20"/>
          <w:szCs w:val="20"/>
          <w:color w:val="auto"/>
        </w:rPr>
      </w:pPr>
      <w:r>
        <w:rPr>
          <w:rFonts w:ascii="Arial" w:cs="Arial" w:eastAsia="Arial" w:hAnsi="Arial"/>
          <w:sz w:val="16"/>
          <w:szCs w:val="16"/>
          <w:color w:val="auto"/>
        </w:rPr>
        <w:t>The Audit Committee has reviewed and discussed the audited fiscal year 2012 financial statements with the Company’s management. In addition, the Aud Committee has discussed with PricewaterhouseCoopers LLP the matters required to be discussed by Statement of Auditing Standards No. 61 (Communication with A Committees), as modified or supplemented, as adopted by the Public Company Accounting Oversight Board in Rule 3200T. The Audit Committee has received the w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72" w:lineRule="exact"/>
        <w:rPr>
          <w:sz w:val="20"/>
          <w:szCs w:val="20"/>
          <w:color w:val="auto"/>
        </w:rPr>
      </w:pPr>
    </w:p>
    <w:p>
      <w:pPr>
        <w:ind w:left="709"/>
        <w:spacing w:after="0"/>
        <w:rPr>
          <w:sz w:val="20"/>
          <w:szCs w:val="20"/>
          <w:color w:val="auto"/>
        </w:rPr>
      </w:pPr>
      <w:r>
        <w:rPr>
          <w:rFonts w:ascii="Arial" w:cs="Arial" w:eastAsia="Arial" w:hAnsi="Arial"/>
          <w:sz w:val="17"/>
          <w:szCs w:val="17"/>
          <w:color w:val="auto"/>
        </w:rPr>
        <w:t>The Audit Committee also reviewed matters relating to the Company’s internal control over financial reporting.</w:t>
      </w:r>
    </w:p>
    <w:p>
      <w:pPr>
        <w:spacing w:after="0" w:line="28" w:lineRule="exact"/>
        <w:rPr>
          <w:sz w:val="20"/>
          <w:szCs w:val="20"/>
          <w:color w:val="auto"/>
        </w:rPr>
      </w:pPr>
    </w:p>
    <w:p>
      <w:pPr>
        <w:ind w:left="560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196850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42" w:right="1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Preapproval policy</w:t>
      </w:r>
    </w:p>
    <w:p>
      <w:pPr>
        <w:spacing w:after="0" w:line="202" w:lineRule="exact"/>
        <w:rPr>
          <w:sz w:val="20"/>
          <w:szCs w:val="20"/>
          <w:color w:val="auto"/>
        </w:rPr>
      </w:pPr>
    </w:p>
    <w:p>
      <w:pPr>
        <w:jc w:val="both"/>
        <w:ind w:firstLine="709"/>
        <w:spacing w:after="0" w:line="264" w:lineRule="auto"/>
        <w:rPr>
          <w:sz w:val="20"/>
          <w:szCs w:val="20"/>
          <w:color w:val="auto"/>
        </w:rPr>
      </w:pPr>
      <w:r>
        <w:rPr>
          <w:rFonts w:ascii="Arial" w:cs="Arial" w:eastAsia="Arial" w:hAnsi="Arial"/>
          <w:sz w:val="16"/>
          <w:szCs w:val="16"/>
          <w:color w:val="auto"/>
        </w:rPr>
        <w:t>In 2012,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 cost levels will require specific preapproval by the Audit Committee. The term of any preapproval is 12 months from the date of preapproval, unless the Audit Comm specifically provides for a different period. The Audit Committee will periodically review and preapprove the services that may be provided by the independent audit without obtaining specific preapproval from the Chairman of the Audit Committee, as well as revise the list of preapproved services from time to time, based on subs determinations.</w:t>
      </w:r>
    </w:p>
    <w:p>
      <w:pPr>
        <w:spacing w:after="0" w:line="172" w:lineRule="exact"/>
        <w:rPr>
          <w:sz w:val="20"/>
          <w:szCs w:val="20"/>
          <w:color w:val="auto"/>
        </w:rPr>
      </w:pPr>
    </w:p>
    <w:p>
      <w:pPr>
        <w:jc w:val="both"/>
        <w:ind w:firstLine="709"/>
        <w:spacing w:after="0" w:line="314" w:lineRule="auto"/>
        <w:rPr>
          <w:sz w:val="20"/>
          <w:szCs w:val="20"/>
          <w:color w:val="auto"/>
        </w:rPr>
      </w:pPr>
      <w:r>
        <w:rPr>
          <w:rFonts w:ascii="Arial" w:cs="Arial" w:eastAsia="Arial" w:hAnsi="Arial"/>
          <w:sz w:val="14"/>
          <w:szCs w:val="14"/>
          <w:color w:val="auto"/>
        </w:rPr>
        <w:t>The Audit Committee will not delegate its responsibilities to preapprove services performed by the independent auditor to management. The Audit Commi may delegate preapproval authority to one or more of its members. The annual audit services engagement terms and fees will be subject to the specific preapproval of Audit Committee. The Audit Committee will approve, if necessary, any changes in terms, conditions and fees resulting from changes in audit scope, Company structu other matters. In addition to the annual audit services engagement specifically approved by the Audit Committee, the Audit Committee may grant preapproval for oth audit services, which are those services that only the independent auditor reasonably can provide.</w:t>
      </w:r>
    </w:p>
    <w:p>
      <w:pPr>
        <w:spacing w:after="0" w:line="138" w:lineRule="exact"/>
        <w:rPr>
          <w:sz w:val="20"/>
          <w:szCs w:val="20"/>
          <w:color w:val="auto"/>
        </w:rPr>
      </w:pPr>
    </w:p>
    <w:p>
      <w:pPr>
        <w:ind w:firstLine="709"/>
        <w:spacing w:after="0" w:line="252" w:lineRule="auto"/>
        <w:rPr>
          <w:sz w:val="20"/>
          <w:szCs w:val="20"/>
          <w:color w:val="auto"/>
        </w:rPr>
      </w:pPr>
      <w:r>
        <w:rPr>
          <w:rFonts w:ascii="Arial" w:cs="Arial" w:eastAsia="Arial" w:hAnsi="Arial"/>
          <w:sz w:val="17"/>
          <w:szCs w:val="17"/>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 independence of the independent auditor.</w:t>
      </w:r>
    </w:p>
    <w:p>
      <w:pPr>
        <w:spacing w:after="0" w:line="178" w:lineRule="exact"/>
        <w:rPr>
          <w:sz w:val="20"/>
          <w:szCs w:val="20"/>
          <w:color w:val="auto"/>
        </w:rPr>
      </w:pPr>
    </w:p>
    <w:p>
      <w:pPr>
        <w:jc w:val="both"/>
        <w:ind w:firstLine="709"/>
        <w:spacing w:after="0" w:line="249" w:lineRule="auto"/>
        <w:rPr>
          <w:sz w:val="20"/>
          <w:szCs w:val="20"/>
          <w:color w:val="auto"/>
        </w:rPr>
      </w:pPr>
      <w:r>
        <w:rPr>
          <w:rFonts w:ascii="Arial" w:cs="Arial" w:eastAsia="Arial" w:hAnsi="Arial"/>
          <w:sz w:val="17"/>
          <w:szCs w:val="17"/>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 initially recommended by the independent auditor, the purpose of which may be tax avoidance and the tax treatment of which may not be supported in the Internal Re Code and related regulations.</w:t>
      </w:r>
    </w:p>
    <w:p>
      <w:pPr>
        <w:spacing w:after="0" w:line="182" w:lineRule="exact"/>
        <w:rPr>
          <w:sz w:val="20"/>
          <w:szCs w:val="20"/>
          <w:color w:val="auto"/>
        </w:rPr>
      </w:pPr>
    </w:p>
    <w:p>
      <w:pPr>
        <w:jc w:val="both"/>
        <w:ind w:firstLine="709"/>
        <w:spacing w:after="0" w:line="332" w:lineRule="auto"/>
        <w:rPr>
          <w:sz w:val="20"/>
          <w:szCs w:val="20"/>
          <w:color w:val="auto"/>
        </w:rPr>
      </w:pPr>
      <w:r>
        <w:rPr>
          <w:rFonts w:ascii="Arial" w:cs="Arial" w:eastAsia="Arial" w:hAnsi="Arial"/>
          <w:sz w:val="14"/>
          <w:szCs w:val="14"/>
          <w:color w:val="auto"/>
        </w:rPr>
        <w:t>The Audit Committee may grant preapproval of those permissible non-audit services classified as “All Other” services that it believes are routine and recu services and would not impair the independence of the auditor. Preapproval fee levels for all such services to be provided by the independent auditor will be establish annually by the Audit Committee. Any proposed services exceeding these levels will require specific preapproval by the Audit Committee.</w:t>
      </w:r>
    </w:p>
    <w:p>
      <w:pPr>
        <w:spacing w:after="0" w:line="126"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 consistent with the Securities and Exchange Commission’s rules on auditor independence.</w:t>
      </w:r>
    </w:p>
    <w:p>
      <w:pPr>
        <w:spacing w:after="0" w:line="178" w:lineRule="exact"/>
        <w:rPr>
          <w:sz w:val="20"/>
          <w:szCs w:val="20"/>
          <w:color w:val="auto"/>
        </w:rPr>
      </w:pPr>
    </w:p>
    <w:p>
      <w:pPr>
        <w:jc w:val="both"/>
        <w:ind w:firstLine="709"/>
        <w:spacing w:after="0" w:line="275"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 the Company regarding accounting, internal accounting controls or auditing matters and the confidential, anonymous submission by employees of the Company of co regarding questionable accounting or auditing matters through the use of a third-party-managed telephone hotline.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202" w:lineRule="exact"/>
        <w:rPr>
          <w:sz w:val="20"/>
          <w:szCs w:val="20"/>
          <w:color w:val="auto"/>
        </w:rPr>
      </w:pPr>
    </w:p>
    <w:p>
      <w:pPr>
        <w:ind w:right="80" w:firstLine="709"/>
        <w:spacing w:after="0" w:line="368" w:lineRule="auto"/>
        <w:rPr>
          <w:sz w:val="20"/>
          <w:szCs w:val="20"/>
          <w:color w:val="auto"/>
        </w:rPr>
      </w:pPr>
      <w:r>
        <w:rPr>
          <w:rFonts w:ascii="Arial" w:cs="Arial" w:eastAsia="Arial" w:hAnsi="Arial"/>
          <w:sz w:val="14"/>
          <w:szCs w:val="14"/>
          <w:color w:val="auto"/>
        </w:rPr>
        <w:t>PricewaterhouseCoopers LLP’s fees for the annual audit, statutory audits and reviews of financial statements included in the Company’s quarterly filings, including reimbursable expenses, were $4,126,500 in 2012 and $3,930,000 in 2011, which fees were reviewed and approved by the Audit Committee.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Audit-Related Fees</w:t>
      </w:r>
    </w:p>
    <w:p>
      <w:pPr>
        <w:spacing w:after="0" w:line="202" w:lineRule="exact"/>
        <w:rPr>
          <w:sz w:val="20"/>
          <w:szCs w:val="20"/>
          <w:color w:val="auto"/>
        </w:rPr>
      </w:pPr>
    </w:p>
    <w:p>
      <w:pPr>
        <w:jc w:val="both"/>
        <w:ind w:firstLine="709"/>
        <w:spacing w:after="0" w:line="332" w:lineRule="auto"/>
        <w:rPr>
          <w:sz w:val="20"/>
          <w:szCs w:val="20"/>
          <w:color w:val="auto"/>
        </w:rPr>
      </w:pPr>
      <w:r>
        <w:rPr>
          <w:rFonts w:ascii="Arial" w:cs="Arial" w:eastAsia="Arial" w:hAnsi="Arial"/>
          <w:sz w:val="14"/>
          <w:szCs w:val="14"/>
          <w:color w:val="auto"/>
        </w:rPr>
        <w:t>PricewaterhouseCoopers LLP’s fees for assurance and related services reasonably related to the performance of the audit or reviews of financial statements not included under “Audit Fees” above, including reimbursable expenses, were $30,000 in 2012 and $20,000 in 2011, which fees were reviewed and approved by the Committee. These fees were primarily for financial due diligence and transaction analysis and other audit-related reports.</w:t>
      </w:r>
    </w:p>
    <w:p>
      <w:pPr>
        <w:spacing w:after="0" w:line="15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6" w:right="1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Tax Fees</w:t>
      </w:r>
    </w:p>
    <w:p>
      <w:pPr>
        <w:spacing w:after="0" w:line="202"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PricewaterhouseCoopers LLP’s fees for tax compliance, tax advice and tax planning, including reimbursable expenses, were $1,430,900 in 2012 and $1,21 in 2011, which fees were reviewed and approved by the Audit Committee. These fees were primarily for tax due diligence and transaction analysis, as well as federal multistate and foreign tax consulting.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Other Fees</w:t>
      </w:r>
    </w:p>
    <w:p>
      <w:pPr>
        <w:spacing w:after="0" w:line="202" w:lineRule="exact"/>
        <w:rPr>
          <w:sz w:val="20"/>
          <w:szCs w:val="20"/>
          <w:color w:val="auto"/>
        </w:rPr>
      </w:pPr>
    </w:p>
    <w:p>
      <w:pPr>
        <w:jc w:val="both"/>
        <w:ind w:firstLine="709"/>
        <w:spacing w:after="0" w:line="260" w:lineRule="auto"/>
        <w:rPr>
          <w:sz w:val="20"/>
          <w:szCs w:val="20"/>
          <w:color w:val="auto"/>
        </w:rPr>
      </w:pPr>
      <w:r>
        <w:rPr>
          <w:rFonts w:ascii="Arial" w:cs="Arial" w:eastAsia="Arial" w:hAnsi="Arial"/>
          <w:sz w:val="17"/>
          <w:szCs w:val="17"/>
          <w:color w:val="auto"/>
        </w:rPr>
        <w:t>PricewaterhouseCoopers LLP’s fees for a finance and accounting research tool provided by PricewaterhouseCoopers LLP were $16,600 in 2012 and $11,5 2011, which fees were reviewed and approved by the Audit Committee.</w:t>
      </w:r>
    </w:p>
    <w:p>
      <w:pPr>
        <w:spacing w:after="0" w:line="172" w:lineRule="exact"/>
        <w:rPr>
          <w:sz w:val="20"/>
          <w:szCs w:val="20"/>
          <w:color w:val="auto"/>
        </w:rPr>
      </w:pPr>
    </w:p>
    <w:p>
      <w:pPr>
        <w:jc w:val="both"/>
        <w:ind w:firstLine="709"/>
        <w:spacing w:after="0" w:line="252" w:lineRule="auto"/>
        <w:rPr>
          <w:sz w:val="20"/>
          <w:szCs w:val="20"/>
          <w:color w:val="auto"/>
        </w:rPr>
      </w:pPr>
      <w:r>
        <w:rPr>
          <w:rFonts w:ascii="Arial" w:cs="Arial" w:eastAsia="Arial" w:hAnsi="Arial"/>
          <w:sz w:val="17"/>
          <w:szCs w:val="17"/>
          <w:color w:val="auto"/>
        </w:rPr>
        <w:t>Based on such review and discussion and in reliance thereon, the Audit Committee recommended to the Board of Directors, and the Board has approved, t audited financial statements be included in the Company’s Annual Report on Form 10-K for the year ended December 31, 2012, for filing with the Securities and Exc Commission.</w:t>
      </w:r>
    </w:p>
    <w:p>
      <w:pPr>
        <w:spacing w:after="0" w:line="17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Thomas S. Gayner, Chairman</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Christopher C. Davis</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G. Richard Wagoner, Jr.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 Promoters and Certain Control Persons</w:t>
      </w:r>
    </w:p>
    <w:p>
      <w:pPr>
        <w:spacing w:after="0" w:line="206" w:lineRule="exact"/>
        <w:rPr>
          <w:sz w:val="20"/>
          <w:szCs w:val="20"/>
          <w:color w:val="auto"/>
        </w:rPr>
      </w:pPr>
    </w:p>
    <w:p>
      <w:pPr>
        <w:jc w:val="both"/>
        <w:ind w:firstLine="709"/>
        <w:spacing w:after="0" w:line="292" w:lineRule="auto"/>
        <w:rPr>
          <w:sz w:val="20"/>
          <w:szCs w:val="20"/>
          <w:color w:val="auto"/>
        </w:rPr>
      </w:pPr>
      <w:r>
        <w:rPr>
          <w:rFonts w:ascii="Arial" w:cs="Arial" w:eastAsia="Arial" w:hAnsi="Arial"/>
          <w:sz w:val="16"/>
          <w:szCs w:val="16"/>
          <w:color w:val="auto"/>
        </w:rPr>
        <w:t>Mrs. Elizabeth G. Weymouth, the daughter of the late Mrs. Katharine Graham and the sister of Mr. Donald E. Graham, is employed full time as Editor-at-L The Washington Post, and she received $300,000 in compensation in 2012. Mrs. Weymouth’s base salary for 2013 is $300,000.</w:t>
      </w:r>
    </w:p>
    <w:p>
      <w:pPr>
        <w:spacing w:after="0" w:line="148" w:lineRule="exact"/>
        <w:rPr>
          <w:sz w:val="20"/>
          <w:szCs w:val="20"/>
          <w:color w:val="auto"/>
        </w:rPr>
      </w:pPr>
    </w:p>
    <w:p>
      <w:pPr>
        <w:jc w:val="both"/>
        <w:ind w:firstLine="709"/>
        <w:spacing w:after="0" w:line="305" w:lineRule="auto"/>
        <w:rPr>
          <w:sz w:val="20"/>
          <w:szCs w:val="20"/>
          <w:color w:val="auto"/>
        </w:rPr>
      </w:pPr>
      <w:r>
        <w:rPr>
          <w:rFonts w:ascii="Arial" w:cs="Arial" w:eastAsia="Arial" w:hAnsi="Arial"/>
          <w:sz w:val="14"/>
          <w:szCs w:val="14"/>
          <w:color w:val="auto"/>
        </w:rPr>
        <w:t>Katharine Weymouth, a granddaughter of the late Mrs. Katharine Graham, a daughter of Mrs. Elizabeth G. Weymouth and a niece of Mr. Donald E. Graha Publisher of The Washington Post newspaper and Chief Executive Officer of Washington Post Media. In 2012, Ms. Weymouth was paid $625,000 in base salary and received a bonus of $611,413 based on the achievement of pre-established 2012 performance goals. In addition, Ms. Weymouth received a payment of $1,200,000 fo 6,000 Performance Units in the 2009–2012 Award Cycle. She currently has 7,500 Performance Units from the 2013–2016 Awards Cycle, 7,500 Performance Units fr 2011–2014 Award Cycle, 2,500 shares of Restricted Stock in the 2013–2016 cycle, 5,000 shares of Restricted Stock in the 2011–2014 cycle, an additional 1,500 shar Restricted Stock, which were granted in December 2009 with 100% vesting after four years, and an additional 42,500 shares of Restricted Stock, which were granted June 2012 with 100% vesting after six years only if pre-established performance goals are achieved. She also has 7,000 Stock Options, which vest 25% each year ove years; currently, 6,000 options have vested. Ms. Weymouth’s base salary for 2013 is $646,875. In 2012, Ms. Weymouth was re-elected to the Board of Directors. As a employee-Director, she is ineligible for compensation for her service on the Board.</w:t>
      </w:r>
    </w:p>
    <w:p>
      <w:pPr>
        <w:spacing w:after="0" w:line="144" w:lineRule="exact"/>
        <w:rPr>
          <w:sz w:val="20"/>
          <w:szCs w:val="20"/>
          <w:color w:val="auto"/>
        </w:rPr>
      </w:pPr>
    </w:p>
    <w:p>
      <w:pPr>
        <w:ind w:right="20" w:firstLine="709"/>
        <w:spacing w:after="0" w:line="332" w:lineRule="auto"/>
        <w:rPr>
          <w:sz w:val="20"/>
          <w:szCs w:val="20"/>
          <w:color w:val="auto"/>
        </w:rPr>
      </w:pPr>
      <w:r>
        <w:rPr>
          <w:rFonts w:ascii="Arial" w:cs="Arial" w:eastAsia="Arial" w:hAnsi="Arial"/>
          <w:sz w:val="14"/>
          <w:szCs w:val="14"/>
          <w:color w:val="auto"/>
        </w:rPr>
        <w:t>Laura O’Shaughnessy, a daughter of Mr. Donald E. Graham, is employed full time as the President and Chief Executive Officer of Social Code, LLC, a subsidiary of the Company. In 2012, Mrs. O’Shaughnessy was paid $150,000 in base salary and received a bonus of $22,750 based on the achievement of pre-establi 2012 performance goals. She currently has 1,500 shares of Restricted Stock in the 2013–2016 cycle. Mrs. O’Shaughnessy’s base salary for 2013 is $150,000.</w:t>
      </w:r>
    </w:p>
    <w:p>
      <w:pPr>
        <w:spacing w:after="0" w:line="12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OTHER MATTERS THAT MAY COME BEFORE THE MEETING</w:t>
      </w:r>
    </w:p>
    <w:p>
      <w:pPr>
        <w:spacing w:after="0" w:line="206" w:lineRule="exact"/>
        <w:rPr>
          <w:sz w:val="20"/>
          <w:szCs w:val="20"/>
          <w:color w:val="auto"/>
        </w:rPr>
      </w:pPr>
    </w:p>
    <w:p>
      <w:pPr>
        <w:jc w:val="both"/>
        <w:ind w:right="40" w:firstLine="709"/>
        <w:spacing w:after="0" w:line="252" w:lineRule="auto"/>
        <w:rPr>
          <w:sz w:val="20"/>
          <w:szCs w:val="20"/>
          <w:color w:val="auto"/>
        </w:rPr>
      </w:pPr>
      <w:r>
        <w:rPr>
          <w:rFonts w:ascii="Arial" w:cs="Arial" w:eastAsia="Arial" w:hAnsi="Arial"/>
          <w:sz w:val="17"/>
          <w:szCs w:val="17"/>
          <w:color w:val="auto"/>
        </w:rPr>
        <w:t>As of the date of this Proxy Statement, the only matters that the Board of Directors expects to present to the Meeting are those discussed herein. If any oth matter or matters are properly brought before the Meeting or any adjournment thereof, it is the intention of the persons named in the accompanying form of Proxy to those matters in accordance with their best judgment.</w:t>
      </w:r>
    </w:p>
    <w:p>
      <w:pPr>
        <w:spacing w:after="0" w:line="178" w:lineRule="exact"/>
        <w:rPr>
          <w:sz w:val="20"/>
          <w:szCs w:val="20"/>
          <w:color w:val="auto"/>
        </w:rPr>
      </w:pPr>
    </w:p>
    <w:p>
      <w:pPr>
        <w:ind w:firstLine="709"/>
        <w:spacing w:after="0" w:line="265"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 accountant to audit and report on its financial statements for the fiscal year 2013. The same firm has acted as the Company’s independent accountant continuously sin Company was organized in 1946. As in previous years, a representative of PricewaterhouseCoopers LLP will be present at the Annual Meeting, will have the opportu make any statement that he or she may desire with respect to the Company’s financial statements for 2012 and the firm’s relationship with the Company and will be available to respond to appropriate questions from shareholders.</w:t>
      </w:r>
    </w:p>
    <w:p>
      <w:pPr>
        <w:spacing w:after="0" w:line="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196850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6" w:right="1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center"/>
        <w:ind w:right="-1160"/>
        <w:spacing w:after="0"/>
        <w:rPr>
          <w:sz w:val="20"/>
          <w:szCs w:val="20"/>
          <w:color w:val="auto"/>
        </w:rPr>
      </w:pPr>
      <w:r>
        <w:rPr>
          <w:rFonts w:ascii="Arial" w:cs="Arial" w:eastAsia="Arial" w:hAnsi="Arial"/>
          <w:sz w:val="40"/>
          <w:szCs w:val="40"/>
          <w:b w:val="1"/>
          <w:bCs w:val="1"/>
          <w:color w:val="106280"/>
        </w:rPr>
        <w:t>Notice of</w:t>
      </w:r>
    </w:p>
    <w:p>
      <w:pPr>
        <w:spacing w:after="0" w:line="45" w:lineRule="exact"/>
        <w:rPr>
          <w:sz w:val="20"/>
          <w:szCs w:val="20"/>
          <w:color w:val="auto"/>
        </w:rPr>
      </w:pPr>
    </w:p>
    <w:p>
      <w:pPr>
        <w:jc w:val="center"/>
        <w:ind w:right="-1160"/>
        <w:spacing w:after="0"/>
        <w:rPr>
          <w:sz w:val="20"/>
          <w:szCs w:val="20"/>
          <w:color w:val="auto"/>
        </w:rPr>
      </w:pPr>
      <w:r>
        <w:rPr>
          <w:rFonts w:ascii="Arial" w:cs="Arial" w:eastAsia="Arial" w:hAnsi="Arial"/>
          <w:sz w:val="37"/>
          <w:szCs w:val="37"/>
          <w:b w:val="1"/>
          <w:bCs w:val="1"/>
          <w:color w:val="106280"/>
        </w:rPr>
        <w:t>Annual Meeting</w:t>
      </w:r>
    </w:p>
    <w:p>
      <w:pPr>
        <w:spacing w:after="0" w:line="33" w:lineRule="exact"/>
        <w:rPr>
          <w:sz w:val="20"/>
          <w:szCs w:val="20"/>
          <w:color w:val="auto"/>
        </w:rPr>
      </w:pPr>
    </w:p>
    <w:p>
      <w:pPr>
        <w:jc w:val="center"/>
        <w:ind w:right="-1160"/>
        <w:spacing w:after="0"/>
        <w:rPr>
          <w:sz w:val="20"/>
          <w:szCs w:val="20"/>
          <w:color w:val="auto"/>
        </w:rPr>
      </w:pPr>
      <w:r>
        <w:rPr>
          <w:rFonts w:ascii="Arial" w:cs="Arial" w:eastAsia="Arial" w:hAnsi="Arial"/>
          <w:sz w:val="40"/>
          <w:szCs w:val="40"/>
          <w:b w:val="1"/>
          <w:bCs w:val="1"/>
          <w:color w:val="106280"/>
        </w:rPr>
        <w:t>and</w:t>
      </w:r>
    </w:p>
    <w:p>
      <w:pPr>
        <w:jc w:val="center"/>
        <w:ind w:right="-1160"/>
        <w:spacing w:after="0"/>
        <w:rPr>
          <w:sz w:val="20"/>
          <w:szCs w:val="20"/>
          <w:color w:val="auto"/>
        </w:rPr>
      </w:pPr>
      <w:r>
        <w:rPr>
          <w:rFonts w:ascii="Arial" w:cs="Arial" w:eastAsia="Arial" w:hAnsi="Arial"/>
          <w:sz w:val="34"/>
          <w:szCs w:val="34"/>
          <w:b w:val="1"/>
          <w:bCs w:val="1"/>
          <w:color w:val="106280"/>
        </w:rPr>
        <w:t>Proxy Statement</w:t>
      </w:r>
    </w:p>
    <w:p>
      <w:pPr>
        <w:spacing w:after="0" w:line="68" w:lineRule="exact"/>
        <w:rPr>
          <w:sz w:val="20"/>
          <w:szCs w:val="20"/>
          <w:color w:val="auto"/>
        </w:rPr>
      </w:pPr>
    </w:p>
    <w:p>
      <w:pPr>
        <w:jc w:val="center"/>
        <w:ind w:right="-1160"/>
        <w:spacing w:after="0"/>
        <w:rPr>
          <w:sz w:val="20"/>
          <w:szCs w:val="20"/>
          <w:color w:val="auto"/>
        </w:rPr>
      </w:pPr>
      <w:r>
        <w:rPr>
          <w:rFonts w:ascii="Arial" w:cs="Arial" w:eastAsia="Arial" w:hAnsi="Arial"/>
          <w:sz w:val="40"/>
          <w:szCs w:val="40"/>
          <w:b w:val="1"/>
          <w:bCs w:val="1"/>
          <w:color w:val="106280"/>
        </w:rPr>
        <w:t>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196850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019"/>
          </w:cols>
          <w:pgMar w:left="1440" w:top="1291"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483235</wp:posOffset>
            </wp:positionV>
            <wp:extent cx="4917440" cy="6469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917440" cy="646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226060</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483235</wp:posOffset>
            </wp:positionV>
            <wp:extent cx="4917440" cy="6320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917440" cy="632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218440</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483235</wp:posOffset>
            </wp:positionV>
            <wp:extent cx="4917440" cy="6343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91744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218440</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483235</wp:posOffset>
            </wp:positionV>
            <wp:extent cx="4917440" cy="6320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917440" cy="632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218440</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upperLetter"/>
      <w:start w:val="1"/>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upperLetter"/>
      <w:start w:val="1"/>
    </w:lvl>
  </w:abstractNum>
  <w:abstractNum w:abstractNumId="6">
    <w:nsid w:val="2443A858"/>
    <w:multiLevelType w:val="hybridMultilevel"/>
    <w:lvl w:ilvl="0">
      <w:lvlJc w:val="left"/>
      <w:lvlText w:val="%1:"/>
      <w:numFmt w:val="upperLetter"/>
      <w:start w:val="1"/>
    </w:lvl>
    <w:lvl w:ilvl="1">
      <w:lvlJc w:val="left"/>
      <w:lvlText w:val="•"/>
      <w:numFmt w:val="bullet"/>
      <w:start w:val="1"/>
    </w:lvl>
  </w:abstractNum>
  <w:abstractNum w:abstractNumId="7">
    <w:nsid w:val="2D1D5AE9"/>
    <w:multiLevelType w:val="hybridMultilevel"/>
    <w:lvl w:ilvl="0">
      <w:lvlJc w:val="left"/>
      <w:lvlText w:val="%1:"/>
      <w:numFmt w:val="upperLetter"/>
      <w:start w:val="1"/>
    </w:lvl>
  </w:abstractNum>
  <w:abstractNum w:abstractNumId="8">
    <w:nsid w:val="6763845E"/>
    <w:multiLevelType w:val="hybridMultilevel"/>
    <w:lvl w:ilvl="0">
      <w:lvlJc w:val="left"/>
      <w:lvlText w:val="%1:"/>
      <w:numFmt w:val="upperLetter"/>
      <w:start w:val="1"/>
    </w:lvl>
    <w:lvl w:ilvl="1">
      <w:lvlJc w:val="left"/>
      <w:lvlText w:val="•"/>
      <w:numFmt w:val="bullet"/>
      <w:start w:val="1"/>
    </w:lvl>
  </w:abstractNum>
  <w:abstractNum w:abstractNumId="9">
    <w:nsid w:val="75A2A8D4"/>
    <w:multiLevelType w:val="hybridMultilevel"/>
    <w:lvl w:ilvl="0">
      <w:lvlJc w:val="left"/>
      <w:lvlText w:val="%1:"/>
      <w:numFmt w:val="upperLetter"/>
      <w:start w:val="1"/>
    </w:lvl>
  </w:abstractNum>
  <w:abstractNum w:abstractNumId="10">
    <w:nsid w:val="8EDBDAB"/>
    <w:multiLevelType w:val="hybridMultilevel"/>
    <w:lvl w:ilvl="0">
      <w:lvlJc w:val="left"/>
      <w:lvlText w:val="%1:"/>
      <w:numFmt w:val="upperLetter"/>
      <w:start w:val="1"/>
    </w:lvl>
  </w:abstractNum>
  <w:abstractNum w:abstractNumId="11">
    <w:nsid w:val="79838CB2"/>
    <w:multiLevelType w:val="hybridMultilevel"/>
    <w:lvl w:ilvl="0">
      <w:lvlJc w:val="left"/>
      <w:lvlText w:val="%1:"/>
      <w:numFmt w:val="upperLetter"/>
      <w:start w:val="1"/>
    </w:lvl>
    <w:lvl w:ilvl="1">
      <w:lvlJc w:val="left"/>
      <w:lvlText w:val="•"/>
      <w:numFmt w:val="bullet"/>
      <w:start w:val="1"/>
    </w:lvl>
  </w:abstractNum>
  <w:abstractNum w:abstractNumId="12">
    <w:nsid w:val="4353D0CD"/>
    <w:multiLevelType w:val="hybridMultilevel"/>
    <w:lvl w:ilvl="0">
      <w:lvlJc w:val="left"/>
      <w:lvlText w:val="%1:"/>
      <w:numFmt w:val="upperLetter"/>
      <w:start w:val="1"/>
    </w:lvl>
  </w:abstractNum>
  <w:abstractNum w:abstractNumId="13">
    <w:nsid w:val="B03E0C6"/>
    <w:multiLevelType w:val="hybridMultilevel"/>
    <w:lvl w:ilvl="0">
      <w:lvlJc w:val="left"/>
      <w:lvlText w:val="%1:"/>
      <w:numFmt w:val="upperLetter"/>
      <w:start w:val="1"/>
    </w:lvl>
  </w:abstractNum>
  <w:abstractNum w:abstractNumId="14">
    <w:nsid w:val="189A769B"/>
    <w:multiLevelType w:val="hybridMultilevel"/>
    <w:lvl w:ilvl="0">
      <w:lvlJc w:val="left"/>
      <w:lvlText w:val="%1:"/>
      <w:numFmt w:val="upperLetter"/>
      <w:start w:val="1"/>
    </w:lvl>
  </w:abstractNum>
  <w:abstractNum w:abstractNumId="15">
    <w:nsid w:val="54E49EB4"/>
    <w:multiLevelType w:val="hybridMultilevel"/>
    <w:lvl w:ilvl="0">
      <w:lvlJc w:val="left"/>
      <w:lvlText w:val="%1:"/>
      <w:numFmt w:val="upperLetter"/>
      <w:start w:val="1"/>
    </w:lvl>
    <w:lvl w:ilvl="1">
      <w:lvlJc w:val="left"/>
      <w:lvlText w:val="•"/>
      <w:numFmt w:val="bullet"/>
      <w:start w:val="1"/>
    </w:lvl>
  </w:abstractNum>
  <w:abstractNum w:abstractNumId="16">
    <w:nsid w:val="71F32454"/>
    <w:multiLevelType w:val="hybridMultilevel"/>
    <w:lvl w:ilvl="0">
      <w:lvlJc w:val="left"/>
      <w:lvlText w:val="%1:"/>
      <w:numFmt w:val="upperLetter"/>
      <w:start w:val="1"/>
    </w:lvl>
  </w:abstractNum>
  <w:abstractNum w:abstractNumId="17">
    <w:nsid w:val="2CA88611"/>
    <w:multiLevelType w:val="hybridMultilevel"/>
    <w:lvl w:ilvl="0">
      <w:lvlJc w:val="left"/>
      <w:lvlText w:val="(%1)"/>
      <w:numFmt w:val="lowerRoman"/>
      <w:start w:val="6"/>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2"/>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Letter"/>
      <w:start w:val="1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4"/>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lvl w:ilvl="1">
      <w:lvlJc w:val="left"/>
      <w:lvlText w:val="%2"/>
      <w:numFmt w:val="decimal"/>
      <w:start w:val="400"/>
    </w:lvl>
  </w:abstractNum>
  <w:abstractNum w:abstractNumId="33">
    <w:nsid w:val="5072367"/>
    <w:multiLevelType w:val="hybridMultilevel"/>
    <w:lvl w:ilvl="0">
      <w:lvlJc w:val="left"/>
      <w:lvlText w:val="(%1)"/>
      <w:numFmt w:val="decimal"/>
      <w:start w:val="3"/>
    </w:lvl>
    <w:lvl w:ilvl="1">
      <w:lvlJc w:val="left"/>
      <w:lvlText w:val="%2"/>
      <w:numFmt w:val="decimal"/>
      <w:start w:val="1"/>
    </w:lvl>
  </w:abstractNum>
  <w:abstractNum w:abstractNumId="34">
    <w:nsid w:val="3804823E"/>
    <w:multiLevelType w:val="hybridMultilevel"/>
    <w:lvl w:ilvl="0">
      <w:lvlJc w:val="left"/>
      <w:lvlText w:val="•"/>
      <w:numFmt w:val="bullet"/>
      <w:start w:val="1"/>
    </w:lvl>
    <w:lvl w:ilvl="1">
      <w:lvlJc w:val="left"/>
      <w:lvlText w:val="•"/>
      <w:numFmt w:val="bullet"/>
      <w:start w:val="1"/>
    </w:lvl>
  </w:abstractNum>
  <w:abstractNum w:abstractNumId="35">
    <w:nsid w:val="77465F01"/>
    <w:multiLevelType w:val="hybridMultilevel"/>
    <w:lvl w:ilvl="0">
      <w:lvlJc w:val="left"/>
      <w:lvlText w:val="•"/>
      <w:numFmt w:val="bullet"/>
      <w:start w:val="1"/>
    </w:lvl>
    <w:lvl w:ilvl="1">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2019-12-05T17:17:42Z</dcterms:created>
  <dcterms:modified xsi:type="dcterms:W3CDTF">2019-12-05T17:17:42Z</dcterms:modified>
</cp:coreProperties>
</file>