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363220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277495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212090</wp:posOffset>
            </wp:positionV>
            <wp:extent cx="4939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243840</wp:posOffset>
            </wp:positionV>
            <wp:extent cx="4939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24, 2017</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92075</wp:posOffset>
            </wp:positionV>
            <wp:extent cx="4939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tbl>
      <w:tblPr>
        <w:tblLayout w:type="fixed"/>
        <w:tblInd w:w="980" w:type="dxa"/>
        <w:tblCellMar>
          <w:top w:w="0" w:type="dxa"/>
          <w:left w:w="0" w:type="dxa"/>
          <w:bottom w:w="0" w:type="dxa"/>
          <w:right w:w="0" w:type="dxa"/>
        </w:tblCellMar>
      </w:tblPr>
      <w:tr>
        <w:trPr>
          <w:trHeight w:val="239"/>
        </w:trPr>
        <w:tc>
          <w:tcPr>
            <w:tcW w:w="4240" w:type="dxa"/>
            <w:vAlign w:val="bottom"/>
          </w:tcPr>
          <w:p>
            <w:pPr>
              <w:jc w:val="center"/>
              <w:ind w:right="21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jc w:val="center"/>
              <w:ind w:right="116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(State or other jurisdiction of</w:t>
            </w:r>
          </w:p>
        </w:tc>
        <w:tc>
          <w:tcPr>
            <w:tcW w:w="232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40" w:type="dxa"/>
            <w:vAlign w:val="bottom"/>
          </w:tcPr>
          <w:p>
            <w:pPr>
              <w:jc w:val="center"/>
              <w:ind w:right="2101"/>
              <w:spacing w:after="0"/>
              <w:rPr>
                <w:sz w:val="20"/>
                <w:szCs w:val="20"/>
                <w:color w:val="auto"/>
              </w:rPr>
            </w:pPr>
            <w:r>
              <w:rPr>
                <w:rFonts w:ascii="Arial" w:cs="Arial" w:eastAsia="Arial" w:hAnsi="Arial"/>
                <w:sz w:val="14"/>
                <w:szCs w:val="14"/>
                <w:b w:val="1"/>
                <w:bCs w:val="1"/>
                <w:color w:val="auto"/>
              </w:rPr>
              <w:t>incorporation or organization)</w:t>
            </w:r>
          </w:p>
        </w:tc>
        <w:tc>
          <w:tcPr>
            <w:tcW w:w="2320" w:type="dxa"/>
            <w:vAlign w:val="bottom"/>
          </w:tcPr>
          <w:p>
            <w:pPr>
              <w:jc w:val="center"/>
              <w:ind w:right="116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6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40" w:type="dxa"/>
            <w:vAlign w:val="bottom"/>
          </w:tcPr>
          <w:p>
            <w:pPr>
              <w:jc w:val="center"/>
              <w:ind w:left="1261"/>
              <w:spacing w:after="0"/>
              <w:rPr>
                <w:sz w:val="20"/>
                <w:szCs w:val="20"/>
                <w:color w:val="auto"/>
              </w:rPr>
            </w:pPr>
            <w:r>
              <w:rPr>
                <w:rFonts w:ascii="Arial" w:cs="Arial" w:eastAsia="Arial" w:hAnsi="Arial"/>
                <w:sz w:val="14"/>
                <w:szCs w:val="14"/>
                <w:b w:val="1"/>
                <w:bCs w:val="1"/>
                <w:color w:val="auto"/>
              </w:rPr>
              <w:t>(Address of principal executive offices)</w:t>
            </w:r>
          </w:p>
        </w:tc>
        <w:tc>
          <w:tcPr>
            <w:tcW w:w="232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1162685</wp:posOffset>
            </wp:positionH>
            <wp:positionV relativeFrom="paragraph">
              <wp:posOffset>86360</wp:posOffset>
            </wp:positionV>
            <wp:extent cx="49396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31"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03"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24, 2017, Graham Holdings Company issued a press release announcing the Company’s earnings for the fourth quarter and year ended December 31, 2016.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1009650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832" w:right="29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580" w:val="left"/>
        </w:tabs>
        <w:rPr>
          <w:sz w:val="20"/>
          <w:szCs w:val="20"/>
          <w:color w:val="auto"/>
        </w:rPr>
      </w:pPr>
      <w:r>
        <w:rPr>
          <w:rFonts w:ascii="Arial" w:cs="Arial" w:eastAsia="Arial" w:hAnsi="Arial"/>
          <w:sz w:val="18"/>
          <w:szCs w:val="18"/>
          <w:color w:val="auto"/>
        </w:rPr>
        <w:t>Date: February 24, 2017</w:t>
      </w:r>
      <w:r>
        <w:rPr>
          <w:sz w:val="20"/>
          <w:szCs w:val="20"/>
          <w:color w:val="auto"/>
        </w:rPr>
        <w:tab/>
      </w: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Nicole Maddrey,</w:t>
      </w:r>
    </w:p>
    <w:p>
      <w:pPr>
        <w:jc w:val="center"/>
        <w:ind w:left="7280"/>
        <w:spacing w:after="0" w:line="234" w:lineRule="auto"/>
        <w:rPr>
          <w:sz w:val="20"/>
          <w:szCs w:val="20"/>
          <w:color w:val="auto"/>
        </w:rPr>
      </w:pPr>
      <w:r>
        <w:rPr>
          <w:rFonts w:ascii="Arial" w:cs="Arial" w:eastAsia="Arial" w:hAnsi="Arial"/>
          <w:sz w:val="18"/>
          <w:szCs w:val="18"/>
          <w:color w:val="auto"/>
        </w:rPr>
        <w:t>Senior Vice President,</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469265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832"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832" w:right="1440" w:bottom="144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2320" w:type="dxa"/>
            <w:vAlign w:val="bottom"/>
            <w:gridSpan w:val="2"/>
          </w:tcPr>
          <w:p>
            <w:pPr>
              <w:ind w:left="1320"/>
              <w:spacing w:after="0"/>
              <w:rPr>
                <w:sz w:val="20"/>
                <w:szCs w:val="20"/>
                <w:color w:val="auto"/>
              </w:rPr>
            </w:pPr>
            <w:r>
              <w:rPr>
                <w:rFonts w:ascii="Arial" w:cs="Arial" w:eastAsia="Arial" w:hAnsi="Arial"/>
                <w:sz w:val="18"/>
                <w:szCs w:val="18"/>
                <w:b w:val="1"/>
                <w:bCs w:val="1"/>
                <w:color w:val="auto"/>
                <w:w w:val="97"/>
              </w:rPr>
              <w:t>Exhibit 99.1</w:t>
            </w:r>
          </w:p>
        </w:tc>
      </w:tr>
      <w:tr>
        <w:trPr>
          <w:trHeight w:val="567"/>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8140" w:type="dxa"/>
            <w:vAlign w:val="bottom"/>
          </w:tcPr>
          <w:p>
            <w:pPr>
              <w:ind w:left="240"/>
              <w:spacing w:after="0"/>
              <w:rPr>
                <w:sz w:val="20"/>
                <w:szCs w:val="20"/>
                <w:color w:val="auto"/>
              </w:rPr>
            </w:pPr>
            <w:r>
              <w:rPr>
                <w:rFonts w:ascii="Arial" w:cs="Arial" w:eastAsia="Arial" w:hAnsi="Arial"/>
                <w:sz w:val="18"/>
                <w:szCs w:val="18"/>
                <w:color w:val="auto"/>
              </w:rPr>
              <w:t>Hal S. Jones</w:t>
            </w:r>
          </w:p>
        </w:tc>
        <w:tc>
          <w:tcPr>
            <w:tcW w:w="232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For Immediate Release</w:t>
            </w:r>
          </w:p>
        </w:tc>
      </w:tr>
      <w:tr>
        <w:trPr>
          <w:trHeight w:val="291"/>
        </w:trPr>
        <w:tc>
          <w:tcPr>
            <w:tcW w:w="920" w:type="dxa"/>
            <w:vAlign w:val="bottom"/>
          </w:tcPr>
          <w:p>
            <w:pPr>
              <w:spacing w:after="0"/>
              <w:rPr>
                <w:sz w:val="24"/>
                <w:szCs w:val="24"/>
                <w:color w:val="auto"/>
              </w:rPr>
            </w:pPr>
          </w:p>
        </w:tc>
        <w:tc>
          <w:tcPr>
            <w:tcW w:w="8140" w:type="dxa"/>
            <w:vAlign w:val="bottom"/>
          </w:tcPr>
          <w:p>
            <w:pPr>
              <w:ind w:left="240"/>
              <w:spacing w:after="0"/>
              <w:rPr>
                <w:sz w:val="20"/>
                <w:szCs w:val="20"/>
                <w:color w:val="auto"/>
              </w:rPr>
            </w:pPr>
            <w:r>
              <w:rPr>
                <w:rFonts w:ascii="Arial" w:cs="Arial" w:eastAsia="Arial" w:hAnsi="Arial"/>
                <w:sz w:val="18"/>
                <w:szCs w:val="18"/>
                <w:color w:val="auto"/>
              </w:rPr>
              <w:t>(703) 345-6370</w:t>
            </w: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24, 2017</w:t>
            </w:r>
          </w:p>
        </w:tc>
        <w:tc>
          <w:tcPr>
            <w:tcW w:w="460" w:type="dxa"/>
            <w:vAlign w:val="bottom"/>
          </w:tcPr>
          <w:p>
            <w:pPr>
              <w:spacing w:after="0"/>
              <w:rPr>
                <w:sz w:val="24"/>
                <w:szCs w:val="24"/>
                <w:color w:val="auto"/>
              </w:rPr>
            </w:pPr>
          </w:p>
        </w:tc>
      </w:tr>
    </w:tbl>
    <w:p>
      <w:pPr>
        <w:spacing w:after="0" w:line="29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GRAHAM HOLDINGS COMPANY REPORTS</w:t>
      </w:r>
    </w:p>
    <w:p>
      <w:pPr>
        <w:spacing w:after="0" w:line="6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2016 AND FOURTH QUARTER EARNINGS</w:t>
      </w:r>
    </w:p>
    <w:p>
      <w:pPr>
        <w:spacing w:after="0" w:line="17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$168.6 million ($29.80 per share) for the year ended December 31, 2016, compared to a net loss of $ 143.5 million ($25.23 per share) for the year ended December 31, 2015. Net loss attributable to common shares was $101.3 million ($17.87 per share) for the year ended December 31, 2015, including $42.2 million ($7.36 per share) in income from discontinued operations.</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For the fourth quarter of 2016, the Company reported net income attributable to common shares of $36.9 million ($6.57 per share), compared to $51.2 million ($8.72 per share) for the same period of 2015.</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addition to discontinued operations, the results for 2016 and 2015 were affected by a number of items as described in the following paragraphs. Excluding these items, income from continuing operations attributable to common shares was $167.6 million ($29.66 per share) for 2016, compared to $138.1 million ($23.56 per share) for 2015. Excluding these items, net income attributable to common shares was $54.4 million ($9.68 per share) for the fourth quarter of 2016, compared to $50.5 million ($8.60 per share) for the fourth quarter of 2015. (Refer to the Non-GAAP Financial Information schedule attached to this release for additional details.)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2016 are listed below, and fourth quarter activity, if any, is highlighted for each item:</w:t>
      </w:r>
    </w:p>
    <w:p>
      <w:pPr>
        <w:spacing w:after="0" w:line="81" w:lineRule="exact"/>
        <w:rPr>
          <w:sz w:val="20"/>
          <w:szCs w:val="20"/>
          <w:color w:val="auto"/>
        </w:rPr>
      </w:pPr>
    </w:p>
    <w:p>
      <w:pPr>
        <w:ind w:left="180" w:right="5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$18.0 million fourth quarter gain related to a bulk lump sum pension program offering (after-tax impact of $10.8 million, or $1.92 per share);</w:t>
      </w:r>
    </w:p>
    <w:p>
      <w:pPr>
        <w:spacing w:after="0" w:line="80" w:lineRule="exact"/>
        <w:rPr>
          <w:rFonts w:ascii="Arial" w:cs="Arial" w:eastAsia="Arial" w:hAnsi="Arial"/>
          <w:sz w:val="18"/>
          <w:szCs w:val="18"/>
          <w:color w:val="auto"/>
        </w:rPr>
      </w:pPr>
    </w:p>
    <w:p>
      <w:pPr>
        <w:ind w:left="180" w:right="48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 $7.0 million of these charges were recorded in the fourth quarter (after-tax impact of $4.5 million, or $0.81 per share);</w:t>
      </w:r>
    </w:p>
    <w:p>
      <w:pPr>
        <w:spacing w:after="0" w:line="80" w:lineRule="exact"/>
        <w:rPr>
          <w:rFonts w:ascii="Arial" w:cs="Arial" w:eastAsia="Arial" w:hAnsi="Arial"/>
          <w:sz w:val="18"/>
          <w:szCs w:val="18"/>
          <w:color w:val="auto"/>
        </w:rPr>
      </w:pPr>
    </w:p>
    <w:p>
      <w:pPr>
        <w:ind w:left="180" w:right="140" w:hanging="172"/>
        <w:spacing w:after="0" w:line="22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$16.8 million in net non-operating gains from the sales of assets and write-downs of cost and equity method investments (after tax impact of $9.5 million, or $1.62 per share); $30.7 million in losses were recorded in the fourth quarter (after-tax impact of $19.5 million, or $3.47 per share);</w:t>
      </w:r>
    </w:p>
    <w:p>
      <w:pPr>
        <w:spacing w:after="0" w:line="82" w:lineRule="exact"/>
        <w:rPr>
          <w:rFonts w:ascii="Arial" w:cs="Arial" w:eastAsia="Arial" w:hAnsi="Arial"/>
          <w:sz w:val="18"/>
          <w:szCs w:val="18"/>
          <w:color w:val="auto"/>
        </w:rPr>
      </w:pPr>
    </w:p>
    <w:p>
      <w:pPr>
        <w:ind w:left="180" w:right="5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 $6.6 million in losses were recorded in the fourth quarter (after-tax impact of $4.2 million, or $0.75 per share); and</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nonrecurring $13.9 million deferred tax benefit related to Kaplan ($2.47 per share).</w:t>
      </w:r>
    </w:p>
    <w:p>
      <w:pPr>
        <w:spacing w:after="0" w:line="90"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Items included in the Company’s income from continuing operations for 2015 are listed below, and fourth quarter activity, if any, is highlighted for each item:</w:t>
      </w:r>
    </w:p>
    <w:p>
      <w:pPr>
        <w:spacing w:after="0" w:line="135" w:lineRule="exact"/>
        <w:rPr>
          <w:sz w:val="20"/>
          <w:szCs w:val="20"/>
          <w:color w:val="auto"/>
        </w:rPr>
      </w:pPr>
    </w:p>
    <w:p>
      <w:pPr>
        <w:jc w:val="both"/>
        <w:ind w:left="180" w:right="18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$259.7 million goodwill and long-lived assets impairment charges at the education division and other businesses (after-tax impact of $225.2 million, or $38.96 per share); $4.2 million of these charges were recorded in the fourth quarter (after-tax impact of $3.7 million, or $0.63 per share);</w:t>
      </w:r>
    </w:p>
    <w:p>
      <w:pPr>
        <w:spacing w:after="0" w:line="82" w:lineRule="exact"/>
        <w:rPr>
          <w:rFonts w:ascii="Arial" w:cs="Arial" w:eastAsia="Arial" w:hAnsi="Arial"/>
          <w:sz w:val="18"/>
          <w:szCs w:val="18"/>
          <w:color w:val="auto"/>
        </w:rPr>
      </w:pPr>
    </w:p>
    <w:p>
      <w:pPr>
        <w:ind w:left="180" w:right="360" w:hanging="172"/>
        <w:spacing w:after="0" w:line="25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$45.8 million in restructuring charges at the education division, corporate office and other businesses (after-tax impact of $28.9 million, or $4.97 per share); $9.0 million of these charges were recorded in the fourth quarter (after-tax impact of $5.5 million, or $0.96 per share);</w:t>
      </w:r>
    </w:p>
    <w:p>
      <w:pPr>
        <w:spacing w:after="0" w:line="65" w:lineRule="exact"/>
        <w:rPr>
          <w:rFonts w:ascii="Arial" w:cs="Arial" w:eastAsia="Arial" w:hAnsi="Arial"/>
          <w:sz w:val="17"/>
          <w:szCs w:val="17"/>
          <w:color w:val="auto"/>
        </w:rPr>
      </w:pPr>
    </w:p>
    <w:p>
      <w:pPr>
        <w:ind w:left="180" w:right="80" w:hanging="172"/>
        <w:spacing w:after="0" w:line="229"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$24.9 million in expense related to the modification of stock option awards in conjunction with the Cable ONE spin-off and the modification of restricted stock awards (after-tax impact of $15.3 million, or $2.64 per share); $6.0 million of these charges were recorded in the fourth quarter (after-tax impact of $3.7 million, or $0.63 per share);</w:t>
      </w:r>
    </w:p>
    <w:p>
      <w:pPr>
        <w:spacing w:after="0" w:line="82"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$12.5 million in net non-operating losses arising from the sales of five businesses and an investment, and on the formation of a joint venture (after-tax impact of $15.7 million, or $2.82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$21.4 million fourth quarter gain on the sale of land (after-tax impact of $13.2 million, or $2.27 per share); and</w:t>
      </w:r>
    </w:p>
    <w:p>
      <w:pPr>
        <w:spacing w:after="0" w:line="90"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$15.6 million in non-operating unrealized foreign currency losses (after-tax impact of $9.7 million, or $1.67 per share); $0.6 million in gains were recorded in the fourth quarter (after-tax impact of $0.4 million, or $0.07 per share).</w:t>
      </w:r>
    </w:p>
    <w:p>
      <w:pPr>
        <w:spacing w:after="0" w:line="81"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Revenue for 2016 was $2,481.9 million, down 4% from $2,586.1 million in 2015. Revenues declined at the education division, offset by an increase at the television broadcasting division and in other businesses.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8" w:right="239" w:bottom="1440" w:gutter="0" w:footer="0" w:header="0"/>
        </w:sectPr>
      </w:pPr>
    </w:p>
    <w:bookmarkStart w:id="5" w:name="page6"/>
    <w:bookmarkEnd w:id="5"/>
    <w:p>
      <w:pPr>
        <w:ind w:right="360"/>
        <w:spacing w:after="0" w:line="235" w:lineRule="auto"/>
        <w:rPr>
          <w:sz w:val="20"/>
          <w:szCs w:val="20"/>
          <w:color w:val="auto"/>
        </w:rPr>
      </w:pPr>
      <w:r>
        <w:rPr>
          <w:rFonts w:ascii="Arial" w:cs="Arial" w:eastAsia="Arial" w:hAnsi="Arial"/>
          <w:sz w:val="18"/>
          <w:szCs w:val="18"/>
          <w:color w:val="auto"/>
        </w:rPr>
        <w:t>Company reported operating income for 2016 of $303.5 million, compared with an operating loss of $80.8 million in 2015. Operating results improved at the education and television broadcasting divisions, offset by a decline in other businesses.</w:t>
      </w:r>
    </w:p>
    <w:p>
      <w:pPr>
        <w:spacing w:after="0" w:line="135"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For the fourth quarter of 2016, revenue was $629.6 million, up 2% from $616.4 million in 2015. Revenues increased at the television broadcasting division and other businesses, offset by a decline at the education division. The Company reported operating income of $109.5 million in the fourth quarter of 2016, compared to $67.8 million in 2015. Operating results improved at all divisions.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Education division revenue in 2016 totaled $1,598.5 million, down 17% from $1,927.5 million in 2015. For the fourth quarter of 2016, education division revenue totaled $391.2 million, down 7% from $421.5 million for the same period of 2015.</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Kaplan reported operating income of $93.6 million for 2016, compared to an operating loss of $223.5 million in 2015; Kaplan reported operating income for the fourth quarter of 2016 of $29.9 million, compared to $26.3 million in the fourth quarter of 2015. Kaplan’s 2015 operating results include goodwill and intangible assets impairment charges of $256.8 million. In 2016, operating results at Kaplan Higher Education (KHE) were up and costs at Kaplan corporate and other declined, partially offset by declines at Kaplan Test Preparation (KTP) and Kaplan International.</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2016 and 2015, with the objective of establishing lower cost levels in future periods. Across all businesses, restructuring costs totaled $11.9 million in 2016 and $44.4 million in 2015. Restructuring costs totaled $7.0 million in the fourth quarter of 2016 and $7.6 million in the fourth quarter of 2015. (Refer to the Education Division Information, Summary of Restructuring Charges schedule attached to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549"/>
              <w:spacing w:after="0"/>
              <w:rPr>
                <w:sz w:val="20"/>
                <w:szCs w:val="20"/>
                <w:color w:val="auto"/>
              </w:rPr>
            </w:pPr>
            <w:r>
              <w:rPr>
                <w:rFonts w:ascii="Arial" w:cs="Arial" w:eastAsia="Arial" w:hAnsi="Arial"/>
                <w:sz w:val="13"/>
                <w:szCs w:val="13"/>
                <w:b w:val="1"/>
                <w:bCs w:val="1"/>
                <w:color w:val="auto"/>
              </w:rPr>
              <w:t>Three Months Ended</w:t>
            </w: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right"/>
              <w:ind w:right="409"/>
              <w:spacing w:after="0"/>
              <w:rPr>
                <w:sz w:val="20"/>
                <w:szCs w:val="20"/>
                <w:color w:val="auto"/>
              </w:rPr>
            </w:pPr>
            <w:r>
              <w:rPr>
                <w:rFonts w:ascii="Arial" w:cs="Arial" w:eastAsia="Arial" w:hAnsi="Arial"/>
                <w:sz w:val="13"/>
                <w:szCs w:val="13"/>
                <w:b w:val="1"/>
                <w:bCs w:val="1"/>
                <w:color w:val="auto"/>
              </w:rPr>
              <w:t>Twelve Months Ended</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7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2016</w:t>
            </w: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2015</w:t>
            </w:r>
          </w:p>
        </w:tc>
        <w:tc>
          <w:tcPr>
            <w:tcW w:w="15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 Change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2016</w:t>
            </w: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2015</w:t>
            </w:r>
          </w:p>
        </w:tc>
        <w:tc>
          <w:tcPr>
            <w:tcW w:w="14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 Change</w:t>
            </w:r>
          </w:p>
        </w:tc>
        <w:tc>
          <w:tcPr>
            <w:tcW w:w="0" w:type="dxa"/>
            <w:vAlign w:val="bottom"/>
          </w:tcPr>
          <w:p>
            <w:pPr>
              <w:spacing w:after="0"/>
              <w:rPr>
                <w:sz w:val="1"/>
                <w:szCs w:val="1"/>
                <w:color w:val="auto"/>
              </w:rPr>
            </w:pPr>
          </w:p>
        </w:tc>
      </w:tr>
      <w:tr>
        <w:trPr>
          <w:trHeight w:val="258"/>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144,916</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167,811</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(14)</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617,047</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849,625</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62,454</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68,294</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286,556</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301,607</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184,294</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184,787</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696,362</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770,273</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24</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779</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(97)</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214</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6,502</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(452)</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(1,718)</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391,236</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421,548</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1,598,461</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99"/>
              </w:rPr>
              <w:t>1,927,521</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Higher education</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16,595</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27,062</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(39)</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66,632</w:t>
            </w:r>
          </w:p>
        </w:tc>
        <w:tc>
          <w:tcPr>
            <w:tcW w:w="42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55,572</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Test preparation</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(3,715)</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433</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9,599</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16,798</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international</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25,461</w:t>
            </w:r>
          </w:p>
        </w:tc>
        <w:tc>
          <w:tcPr>
            <w:tcW w:w="48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20,076</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48,398</w:t>
            </w:r>
          </w:p>
        </w:tc>
        <w:tc>
          <w:tcPr>
            <w:tcW w:w="420" w:type="dxa"/>
            <w:vAlign w:val="bottom"/>
          </w:tcPr>
          <w:p>
            <w:pPr>
              <w:spacing w:after="0"/>
              <w:rPr>
                <w:sz w:val="23"/>
                <w:szCs w:val="23"/>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53,661</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Kaplan corporate and other</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(6,084)</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(18,677)</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(23,452)</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(87,230)</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b w:val="1"/>
                <w:bCs w:val="1"/>
                <w:color w:val="auto"/>
              </w:rPr>
              <w:t>(2,358)</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(1,210)</w:t>
            </w:r>
          </w:p>
        </w:tc>
        <w:tc>
          <w:tcPr>
            <w:tcW w:w="1500" w:type="dxa"/>
            <w:vAlign w:val="bottom"/>
          </w:tcPr>
          <w:p>
            <w:pPr>
              <w:jc w:val="right"/>
              <w:ind w:right="409"/>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(7,516)</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(5,523)</w:t>
            </w:r>
          </w:p>
        </w:tc>
        <w:tc>
          <w:tcPr>
            <w:tcW w:w="1400" w:type="dxa"/>
            <w:vAlign w:val="bottom"/>
          </w:tcPr>
          <w:p>
            <w:pPr>
              <w:jc w:val="right"/>
              <w:ind w:right="30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4"/>
                <w:szCs w:val="14"/>
                <w:color w:val="auto"/>
              </w:rPr>
              <w:t>Impairment of goodwill and other long-lived assets</w:t>
            </w:r>
          </w:p>
        </w:tc>
        <w:tc>
          <w:tcPr>
            <w:tcW w:w="2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(1,363)</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(256,830)</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700" w:type="dxa"/>
            <w:vAlign w:val="bottom"/>
          </w:tcPr>
          <w:p>
            <w:pPr>
              <w:ind w:left="40"/>
              <w:spacing w:after="0"/>
              <w:rPr>
                <w:sz w:val="20"/>
                <w:szCs w:val="20"/>
                <w:color w:val="auto"/>
              </w:rPr>
            </w:pPr>
            <w:r>
              <w:rPr>
                <w:rFonts w:ascii="Arial" w:cs="Arial" w:eastAsia="Arial" w:hAnsi="Arial"/>
                <w:sz w:val="14"/>
                <w:szCs w:val="14"/>
                <w:color w:val="auto"/>
              </w:rPr>
              <w:t>Intersegment elimination</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w:t>
            </w: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(29)</w:t>
            </w: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96</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29,919</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26,322</w:t>
            </w:r>
          </w:p>
        </w:tc>
        <w:tc>
          <w:tcPr>
            <w:tcW w:w="1500" w:type="dxa"/>
            <w:vAlign w:val="bottom"/>
          </w:tcPr>
          <w:p>
            <w:pPr>
              <w:jc w:val="right"/>
              <w:ind w:right="469"/>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93,632</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(223,456)</w:t>
            </w:r>
          </w:p>
        </w:tc>
        <w:tc>
          <w:tcPr>
            <w:tcW w:w="140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3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September 3, 2015, Kaplan completed the sale of substantially all of the remaining assets of its KHE Campuses business. In connection with these and other plans, KHE incurred $7.2 million and $12.9 million in restructuring costs in 2016 and 2015, respectively.</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As a result of continued declines in student enrollments at KHE and the challenging industry operating environment, Kaplan completed an interim impairment review of KHE's remaining long-lived assets in the third quarter of 2015 that resulted in a $248.6 million goodwill impairment charge. This goodwill impairment charge followed a $6.9 million long-lived asset impairment charge that was recorded in the second quarter of 2015 in connection with the KHE Campuses business.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68" w:right="239" w:bottom="1440" w:gutter="0" w:footer="0" w:header="0"/>
        </w:sectPr>
      </w:pPr>
    </w:p>
    <w:bookmarkStart w:id="6" w:name="page7"/>
    <w:bookmarkEnd w:id="6"/>
    <w:p>
      <w:pPr>
        <w:ind w:right="600"/>
        <w:spacing w:after="0" w:line="235" w:lineRule="auto"/>
        <w:rPr>
          <w:sz w:val="20"/>
          <w:szCs w:val="20"/>
          <w:color w:val="auto"/>
        </w:rPr>
      </w:pPr>
      <w:r>
        <w:rPr>
          <w:rFonts w:ascii="Arial" w:cs="Arial" w:eastAsia="Arial" w:hAnsi="Arial"/>
          <w:sz w:val="18"/>
          <w:szCs w:val="18"/>
          <w:color w:val="auto"/>
        </w:rPr>
        <w:t>KHE results, excluding the impairment charge, include revenue and operating losses (including restructuring charges) related to all KHE Campuses, those sold or closed, including Mount Washington College and Bauder College, as follows:</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Twelve Months Ended</w:t>
            </w:r>
          </w:p>
        </w:tc>
      </w:tr>
      <w:tr>
        <w:trPr>
          <w:trHeight w:val="276"/>
        </w:trPr>
        <w:tc>
          <w:tcPr>
            <w:tcW w:w="62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2015</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w w:val="96"/>
              </w:rPr>
              <w:t>2015</w:t>
            </w:r>
          </w:p>
        </w:tc>
      </w:tr>
      <w:tr>
        <w:trPr>
          <w:trHeight w:val="250"/>
        </w:trPr>
        <w:tc>
          <w:tcPr>
            <w:tcW w:w="6260" w:type="dxa"/>
            <w:vAlign w:val="bottom"/>
          </w:tcPr>
          <w:p>
            <w:pPr>
              <w:ind w:left="20"/>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82"/>
              <w:spacing w:after="0"/>
              <w:rPr>
                <w:sz w:val="20"/>
                <w:szCs w:val="20"/>
                <w:color w:val="auto"/>
              </w:rPr>
            </w:pPr>
            <w:r>
              <w:rPr>
                <w:rFonts w:ascii="Arial" w:cs="Arial" w:eastAsia="Arial" w:hAnsi="Arial"/>
                <w:sz w:val="16"/>
                <w:szCs w:val="16"/>
                <w:b w:val="1"/>
                <w:bCs w:val="1"/>
                <w:color w:val="auto"/>
              </w:rPr>
              <w:t>422</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1,681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178,734</w:t>
            </w:r>
          </w:p>
        </w:tc>
      </w:tr>
      <w:tr>
        <w:trPr>
          <w:trHeight w:val="270"/>
        </w:trPr>
        <w:tc>
          <w:tcPr>
            <w:tcW w:w="626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2"/>
              <w:spacing w:after="0"/>
              <w:rPr>
                <w:sz w:val="20"/>
                <w:szCs w:val="20"/>
                <w:color w:val="auto"/>
              </w:rPr>
            </w:pPr>
            <w:r>
              <w:rPr>
                <w:rFonts w:ascii="Arial" w:cs="Arial" w:eastAsia="Arial" w:hAnsi="Arial"/>
                <w:sz w:val="16"/>
                <w:szCs w:val="16"/>
                <w:b w:val="1"/>
                <w:bCs w:val="1"/>
                <w:color w:val="auto"/>
              </w:rPr>
              <w:t>(38)</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(5,022)</w:t>
            </w:r>
          </w:p>
        </w:tc>
        <w:tc>
          <w:tcPr>
            <w:tcW w:w="12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(2,438)</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(38,830)</w:t>
            </w:r>
          </w:p>
        </w:tc>
      </w:tr>
    </w:tbl>
    <w:p>
      <w:pPr>
        <w:spacing w:after="0" w:line="16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2016 and the fourth quarter of 2016, KHE revenue declined 27% and 14%, respectively, due to the campus sales and closings, and declines in average enrollments at Kaplan University, offset by increased revenues at the domestic professional and other continuing education businesses. KHE operating income improved in 2016 due to reduced losses at the KHE Campuses business and lower restructuring costs, lower marketing expenditures at Kaplan University and improved results at the domestic professional and other continuing education businesses, partially offset by lower enrollment at Kaplan University. KHE operating results declined in the fourth quarter of 2016 due primarily to lower enrollment at Kaplan University.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22% in 2016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32,167 at December 31, 2016, down 19% from December 31,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2015</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7.7%</w:t>
            </w: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23.3%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and new economy skills training programs. KTP revenue declined 5% in 2016 and 9% for the fourth quarter of 2016. Enrollments, excluding the new economy skills training offerings, were down 3% in 2016. In comparison to 2015, KTP operating results declined in 2016 due to investment in new economy skills training programs and lower revenues from a change in the enrollment mix to lower priced programs. Operating losses for the new economy skills training programs were $13.0 million and $8.5 million for 2016 and 2015, respectively.</w:t>
      </w:r>
    </w:p>
    <w:p>
      <w:pPr>
        <w:spacing w:after="0" w:line="137"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the first quarter of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Kaplan International revenue declined 10% in 2016, of which 6% is due to currency fluctuations. The remaining decrease is due to enrollment declines in English-language and Pathways programs. Revenue growth from the 2016 acquisitions was largely offset by revenue declines due to prior year dispositions. Revenue was down slightly in the fourth quarter of 2016; on a constant currency basis, revenue increased 9%, largely due to 2016 acquisitions and growth in Pathways.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Kaplan International operating income decreased 10% in 2016, due largely to the reduced English-language and Pathways results and increased restructuring costs, partially offset by operating income from newly acquired businesses. Operating income increased 27% in the fourth quarter of 2016 largely due to improved Pathways results and operating income from newly acquired businesses. The impact of currency fluctuations on comparative operating results was insignificant for 2016 and the fourth quarter of 2016. Restructuring costs at Kaplan International totaled $4.7 million and $1.3 million in 2016 and 2015, respectively.</w:t>
      </w:r>
    </w:p>
    <w:p>
      <w:pPr>
        <w:spacing w:after="0" w:line="137"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2015 and the fourth quarter of 2015, Kaplan corporate recorded $29.4 million and $2.9 million, respectively, in restructuring costs. In 2016, Kaplan corporate expenses also declined due to the benefits from restructuring activities and a reduction in incentive compensation expense. Also, 2015 spending for the replacement of its human resources system did not recur in 2016.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8" w:right="239" w:bottom="1440" w:gutter="0" w:footer="0" w:header="0"/>
        </w:sectPr>
      </w:pPr>
    </w:p>
    <w:bookmarkStart w:id="7" w:name="page8"/>
    <w:bookmarkEnd w:id="7"/>
    <w:p>
      <w:pPr>
        <w:ind w:right="40"/>
        <w:spacing w:after="0" w:line="229" w:lineRule="auto"/>
        <w:rPr>
          <w:sz w:val="20"/>
          <w:szCs w:val="20"/>
          <w:color w:val="auto"/>
        </w:rPr>
      </w:pPr>
      <w:r>
        <w:rPr>
          <w:rFonts w:ascii="Arial" w:cs="Arial" w:eastAsia="Arial" w:hAnsi="Arial"/>
          <w:sz w:val="18"/>
          <w:szCs w:val="18"/>
          <w:color w:val="auto"/>
        </w:rPr>
        <w:t>In addition to the impairment charges of $255.5 million related to KHE recorded in the second and third quarters of 2015, Kaplan recorded an additional $ 1.4 million in noncash intangible and other long-lived assets impairment charges in the fourth quarter of 2015, related to businesses at KTP and Kaplan International.</w:t>
      </w:r>
    </w:p>
    <w:p>
      <w:pPr>
        <w:spacing w:after="0" w:line="137"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 that is included in other non-operating income.</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addition to the sale of the KHE Campuses business in 2015, Kaplan also sold a small business that was part of KHE, and two businesses that were part of Kaplan International. The net loss on the sale of these businesses totaled $24.9 million and is included in other non-operating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Revenue at the television broadcasting division increased 14% to $ 409.7 million, from $359.2 million in 2015; operating income for 2016 was up 22% to $200.5 million, from $164.9 million in the same period of 2015. The revenue increase is due to a $23.9 million increase in political advertising revenue, $18.5 million more in retransmission revenues, and $13.1 million in incremental summer Olympics-related advertising revenue at the Company's NBC affiliates. The increase in operating income is due to the revenue increase, offset by higher spending on digital initiatives and increased network fees.</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For the fourth quarter of 2016, revenue increased 14% to $108.8 million, from $95.2 million in 2015; operating income for the fourth quarter of 2016 was up 27% to $55.9 million, from $43.8 million in the same period of 2015. The increase in revenue is due to a $13.9 million increase in political advertising revenue and $4.0 million in increased retransmission revenues. The increase in operating income is due to the revenue increase, offset by higher spending on digital initiatives and increased network fees.</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This transaction was completed on January 17,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Manufacturing includes three businesses: Dekko, a manufacturer of electrical workspace solutions, architectural lighting and electrical components and assemblies acquired in November 2015;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jc w:val="both"/>
        <w:ind w:right="480"/>
        <w:spacing w:after="0" w:line="229" w:lineRule="auto"/>
        <w:rPr>
          <w:sz w:val="20"/>
          <w:szCs w:val="20"/>
          <w:color w:val="auto"/>
        </w:rPr>
      </w:pPr>
      <w:r>
        <w:rPr>
          <w:rFonts w:ascii="Arial" w:cs="Arial" w:eastAsia="Arial" w:hAnsi="Arial"/>
          <w:sz w:val="18"/>
          <w:szCs w:val="18"/>
          <w:color w:val="auto"/>
        </w:rPr>
        <w:t>Manufacturing revenues and operating income increased in 2016 due primarily to the Dekko acquisition. Also, in September 2016, Dekko acquired Electri-Cable Assemblies (ECA), a Shelton, CT-based manufacturer of power, data and electrical solutions for the office furniture industry.</w:t>
      </w:r>
    </w:p>
    <w:p>
      <w:pPr>
        <w:spacing w:after="0" w:line="137"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The Graham Healthcare Group (GHG) provides home health and hospice services in six states. In June 2016, the Company acquired the outstanding 20% redeemable noncontrolling interest in Residential Healthcare (Residential). Also in June 2016, Celtic Healthcare (Celtic) and Residential combined their business operations and the Company now owns 90% of the combined entity, known as GHG. The Company incurred approximately $2.0 million in expenses in conjunction with these transactions in the second quarter of 2016. Healthcare revenues increased 8% in 2016 due primarily to patient growth for both home health and hospice. Operating results were down in 2016, largely due to the expenses incurred related to the transactions in the second quarter of 2016 and an increase in information systems and other integration costs.</w:t>
      </w:r>
    </w:p>
    <w:p>
      <w:pPr>
        <w:spacing w:after="0" w:line="139" w:lineRule="exact"/>
        <w:rPr>
          <w:sz w:val="20"/>
          <w:szCs w:val="20"/>
          <w:color w:val="auto"/>
        </w:rPr>
      </w:pPr>
    </w:p>
    <w:p>
      <w:pPr>
        <w:ind w:right="46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January 2015, Celtic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revenues increased 28% in 2016 and 23% in the fourth quarter of 2016, due to continued growth in digital advertising service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8" w:right="239" w:bottom="1440" w:gutter="0" w:footer="0" w:header="0"/>
        </w:sectPr>
      </w:pPr>
    </w:p>
    <w:bookmarkStart w:id="8" w:name="page9"/>
    <w:bookmarkEnd w:id="8"/>
    <w:p>
      <w:pPr>
        <w:ind w:right="360"/>
        <w:spacing w:after="0" w:line="235" w:lineRule="auto"/>
        <w:rPr>
          <w:sz w:val="20"/>
          <w:szCs w:val="20"/>
          <w:color w:val="auto"/>
        </w:rPr>
      </w:pPr>
      <w:r>
        <w:rPr>
          <w:rFonts w:ascii="Arial" w:cs="Arial" w:eastAsia="Arial" w:hAnsi="Arial"/>
          <w:sz w:val="18"/>
          <w:szCs w:val="18"/>
          <w:color w:val="auto"/>
        </w:rPr>
        <w:t>revenues. SocialCode reported operating losses of $12.4 million in 2016; these results include incentive accruals of $12.8 million related to phantom equity appreciation plans. The expense amount related to these plans for 2015 was $2.0 million.</w:t>
      </w:r>
    </w:p>
    <w:p>
      <w:pPr>
        <w:spacing w:after="0" w:line="135"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Other businesses also includes Slate and Foreign Policy, which publish online and print magazines and websites; and two investment stage businesses, Panoply and CyberVista. Losses from each of these businesses in 2016 adversely affected operating results. In addition, Slate recorded a goodwill impairment charge of $1.6 million in the fourth quarter of 2016.</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In November 2015, the Company announced that Trove, a digital innovation team, would largely be integrated into SocialCode and that Trove’s existing offerings would be discontinued. In connection with this action, the Company recorded a $2.8 million goodwill impairment charge at Trove in the fourth quarter of 2015, along with $0.5 million in severance costs.</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expense, net.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In the fourth quarter of 2016, the Company recorded an $18.0 million gain related to a bulk lump sum pension program offering.</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the fourth quarter of 2015, the Company recorded $6.0 million in incremental stock compensation expense due to the modification of restricted stock awards and implemented a Special Incentive Program that resulted in expense of $0.9 million, which was funded from the assets of the Company’s pension plan. In the third quarter of 2015, the Company recorded $18.8 million in incremental stock option expense, due to stock option modifications that resulted from the Cable ONE spin-off.</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Excluding the pension gain and other pension incentive expense, the total pension credit for the Company's traditional defined benefit plan was $64.1 million and $83.2 million for 2016 and 2015, respectively.</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Excluding the pension credit and incremental stock compensation expense in 2015, corporate office expenses declined in 2016 due primarily to lower compensation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December 31, 2016, the Company held interests in a number of home health and hospice joint ventures, and interests in several other affiliates. The company recorded equity in losses of affiliates of $7.9 million for 2016, compared to $0.7 million in 2015. In the fourth quarter of 2016, the Company recorded an $8.4 million write-down on its investment in HomeHero, a company that managed an online senior home care marketplace.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(Expense) Income</w:t>
      </w:r>
    </w:p>
    <w:p>
      <w:pPr>
        <w:spacing w:after="0" w:line="16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recorded total other non-operating expense, net, of $12.6 million in 2016, compared to $8.6 million in 2015. For the fourth quarter of 2016, the Company recorded other non-operating expense, net, of $28.5 million, compared to income of $21.3 million for the fourth quarter of 2015.</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2016 non-operating expense, net, included $ 39.9 million in foreign currency losses ($6.6 million in foreign currency losses in the fourth quarter); $29.4 million in cost method investment write-downs ($14.2 million in the fourth quarter); and $1.8 million in net losses on the sales of marketable securities ($8.0 million loss in the fourth quarter), partially offset by a $34.1 million gain on the sale of land; an $18.9 million gain on the sale of a business; a $3.2 million gain on the Residential joint venture transaction and other items. The 2015 non-operating expense, net, included $23.3 million in losses from the sales of businesses, $15.6 million in unrealized foreign currency losses ($0.6 million in unrealized foreign currency gains in the fourth quarter) and other items, offset by a fourth quarter $ 21.4 million gain on the sale of land from Robinson Terminal, a $6.0 million gain on the formation of a Celtic joint venture and a $4.8 million increase to the gain from the 2014 sale of Classified Ventures.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jc w:val="both"/>
        <w:ind w:right="400"/>
        <w:spacing w:after="0" w:line="225" w:lineRule="auto"/>
        <w:rPr>
          <w:sz w:val="20"/>
          <w:szCs w:val="20"/>
          <w:color w:val="auto"/>
        </w:rPr>
      </w:pPr>
      <w:r>
        <w:rPr>
          <w:rFonts w:ascii="Arial" w:cs="Arial" w:eastAsia="Arial" w:hAnsi="Arial"/>
          <w:sz w:val="18"/>
          <w:szCs w:val="18"/>
          <w:color w:val="auto"/>
        </w:rPr>
        <w:t>The Company incurred net interest expense of $32.3 million in 2016, compared to $30.7 million in 2015; net interest expense totaled $9.8 million and $7.4 million for the fourth quarters of 2016 and 2015, respectively. At December 31, 2016, the Company had $491.8 million in borrowings outstanding at an average interest rate of 6.3%, and cash, marketable securities and other investments of $1,119.1 million. At December 31, 2015, the Company had $399.8 million in borrowings outstanding at an average interest rate of 7.2%, and cash, marketable securities and other investments of $1,154.4 million.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368" w:right="259" w:bottom="1440" w:gutter="0" w:footer="0" w:header="0"/>
        </w:sectPr>
      </w:pPr>
    </w:p>
    <w:bookmarkStart w:id="9" w:name="page10"/>
    <w:bookmarkEnd w:id="9"/>
    <w:p>
      <w:pPr>
        <w:ind w:right="280"/>
        <w:spacing w:after="0" w:line="235" w:lineRule="auto"/>
        <w:rPr>
          <w:sz w:val="20"/>
          <w:szCs w:val="20"/>
          <w:color w:val="auto"/>
        </w:rPr>
      </w:pPr>
      <w:r>
        <w:rPr>
          <w:rFonts w:ascii="Arial" w:cs="Arial" w:eastAsia="Arial" w:hAnsi="Arial"/>
          <w:sz w:val="18"/>
          <w:szCs w:val="18"/>
          <w:color w:val="auto"/>
        </w:rPr>
        <w:t>In July 2016, a Kaplan UK company entered into a four-year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for 2016 was 32.4%. 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 recorded a tax provision on the pre-tax loss from continuing operations in 2015, as a large portion of the goodwill impairment charges and the goodwill included in the loss on the KHE Campuses sale were permanent differences not deductible for income tax purposes. Excluding the effect of these permanent differences, the effective tax rate for continuing operations in 2015 was 38.1%.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2015, the Company completed the spin-off of Cable ONE as an independent, publicly traded company and the sale of a school in China that was previously part of Kaplan International.</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calculation of diluted earnings per share for 2016 and the fourth quarter of 2016 was based on 5,588,733 and 5,555,510 weighted average shares, respectively, compared to 5,727,074 and 5,833,850 weighted average shares, respectively, for 2015 and the fourth quarter of 2015. At December 31, 2016, there were 5,576,436 shares outstanding. On May 14, 2015, the Board of Directors authorized the Company to acquire up to 500,000 shares of Class B common stock; the Company has remaining authorization for 224,276 shares as of December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629,579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616,367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495,259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523,563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15,717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15,640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70"/>
        </w:trPr>
        <w:tc>
          <w:tcPr>
            <w:tcW w:w="8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7,511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1,603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4,233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109,489</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67,811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(7,042)</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1,041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70"/>
        </w:trPr>
        <w:tc>
          <w:tcPr>
            <w:tcW w:w="83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(10,857)</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(7,975)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3"/>
        </w:trPr>
        <w:tc>
          <w:tcPr>
            <w:tcW w:w="836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(28,513)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21,262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 before income taxes</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64,118</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81,609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27,200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5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36,918</w:t>
            </w:r>
          </w:p>
        </w:tc>
        <w:tc>
          <w:tcPr>
            <w:tcW w:w="2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51,109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3"/>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noncontrolling interests</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36,918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51,169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836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6.60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5,527</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5,746</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8.72</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5,556</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5,834</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44" w:right="239" w:bottom="1440" w:gutter="0" w:footer="0" w:header="0"/>
        </w:sectPr>
      </w:pPr>
    </w:p>
    <w:bookmarkStart w:id="11" w:name="page12"/>
    <w:bookmarkEnd w:id="11"/>
    <w:p>
      <w:pPr>
        <w:jc w:val="center"/>
        <w:ind w:right="8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6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2,481,890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2,586,114</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2,085,462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2,310,316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64,620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77,906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81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26,671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19,017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color w:val="auto"/>
              </w:rPr>
              <w:t>Impairment of intangible and other long-lived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1,603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259,700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303,534</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(80,825)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(7,937)</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3,093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(35,390)</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(32,654)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Other expense, net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(12,642)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 before income taxes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250,658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(120,890)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81,200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(loss) from continuing operations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169,458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(141,390)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169,458</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(99,220)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1"/>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w:t>
            </w:r>
          </w:p>
        </w:tc>
        <w:tc>
          <w:tcPr>
            <w:tcW w:w="20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168,590</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(100,655)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168,590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168,590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(143,456)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168,590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(101,286)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(loss)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Basic net income (loss)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29.95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(loss) per common share from continuing operations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29.80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(25.23)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6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60" w:type="dxa"/>
            <w:vAlign w:val="bottom"/>
          </w:tcPr>
          <w:p>
            <w:pPr>
              <w:ind w:left="280"/>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5,589</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5,727</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4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4"/>
          </w:tcPr>
          <w:p>
            <w:pPr>
              <w:ind w:left="42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Change</w:t>
            </w: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391,236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421,548</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1,598,461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1,927,521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108,791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95,182</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409,718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359,192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129,552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99,694</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473,850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299,517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(139)</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629,579</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616,367</w:t>
            </w: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2,481,890</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2,586,114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361,317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395,226</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1,504,829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2,150,977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52,915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51,357</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209,248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194,265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130,061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102,979</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495,952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313,184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58</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(24,203)</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(31,534)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8,629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520,090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548,556</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2,178,356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2,666,939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(18)</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29,919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26,322</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93,632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(223,456)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55,876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43,825</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200,470</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164,927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22</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(509)</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(22,102)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(13,667)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(62)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24,203</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31,534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109,489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67,811</w:t>
            </w:r>
          </w:p>
        </w:tc>
        <w:tc>
          <w:tcPr>
            <w:tcW w:w="100" w:type="dxa"/>
            <w:vAlign w:val="bottom"/>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303,534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(80,825)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9,865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10,032</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41,187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61,177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2,575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9,942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9,551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2,986</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2,277</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12,375</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6,168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1,116</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10</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15,717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15,640</w:t>
            </w:r>
          </w:p>
        </w:tc>
        <w:tc>
          <w:tcPr>
            <w:tcW w:w="100" w:type="dxa"/>
            <w:vAlign w:val="bottom"/>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64,620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77,906</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(17)</w:t>
            </w:r>
          </w:p>
        </w:tc>
      </w:tr>
      <w:tr>
        <w:trPr>
          <w:trHeight w:val="18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5"/>
        </w:trPr>
        <w:tc>
          <w:tcPr>
            <w:tcW w:w="4620" w:type="dxa"/>
            <w:vAlign w:val="bottom"/>
          </w:tcPr>
          <w:p>
            <w:pPr>
              <w:ind w:left="12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2,358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262,353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251</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6,694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6,717</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20,507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16,112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9,114</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9,353</w:t>
            </w:r>
          </w:p>
        </w:tc>
        <w:tc>
          <w:tcPr>
            <w:tcW w:w="100" w:type="dxa"/>
            <w:vAlign w:val="bottom"/>
          </w:tcPr>
          <w:p>
            <w:pPr>
              <w:spacing w:after="0"/>
              <w:rPr>
                <w:sz w:val="22"/>
                <w:szCs w:val="22"/>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28,274</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278,717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2,838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3,385</w:t>
            </w:r>
          </w:p>
        </w:tc>
        <w:tc>
          <w:tcPr>
            <w:tcW w:w="100" w:type="dxa"/>
            <w:vAlign w:val="bottom"/>
          </w:tcPr>
          <w:p>
            <w:pPr>
              <w:spacing w:after="0"/>
              <w:rPr>
                <w:sz w:val="23"/>
                <w:szCs w:val="23"/>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11,803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18,804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1,620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279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3"/>
                <w:szCs w:val="23"/>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16</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(33,929)</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(23,535)</w:t>
            </w:r>
          </w:p>
        </w:tc>
        <w:tc>
          <w:tcPr>
            <w:tcW w:w="100" w:type="dxa"/>
            <w:vAlign w:val="bottom"/>
            <w:tcBorders>
              <w:bottom w:val="single" w:sz="8" w:color="auto"/>
            </w:tcBorders>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(81,732)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(30,383)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tcBorders>
              <w:bottom w:val="single" w:sz="8" w:color="auto"/>
            </w:tcBorders>
          </w:tcPr>
          <w:p>
            <w:pPr>
              <w:spacing w:after="0"/>
              <w:rPr>
                <w:sz w:val="22"/>
                <w:szCs w:val="22"/>
                <w:color w:val="auto"/>
              </w:rPr>
            </w:pPr>
          </w:p>
        </w:tc>
        <w:tc>
          <w:tcPr>
            <w:tcW w:w="980" w:type="dxa"/>
            <w:vAlign w:val="bottom"/>
          </w:tcPr>
          <w:p>
            <w:pPr>
              <w:jc w:val="right"/>
              <w:ind w:right="240"/>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(67,097)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(60,557)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11</w:t>
            </w: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4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100" w:type="dxa"/>
            <w:vAlign w:val="bottom"/>
          </w:tcPr>
          <w:p>
            <w:pPr>
              <w:spacing w:after="0"/>
              <w:rPr>
                <w:sz w:val="16"/>
                <w:szCs w:val="16"/>
                <w:color w:val="auto"/>
              </w:rPr>
            </w:pPr>
          </w:p>
        </w:tc>
      </w:tr>
      <w:tr>
        <w:trPr>
          <w:trHeight w:val="276"/>
        </w:trPr>
        <w:tc>
          <w:tcPr>
            <w:tcW w:w="4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jc w:val="right"/>
              <w:ind w:right="4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340"/>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2015</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r>
      <w:tr>
        <w:trPr>
          <w:trHeight w:val="250"/>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144,916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167,811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617,047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849,625</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(27)</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62,454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68,294</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286,556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301,607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184,294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184,787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696,362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770,273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6,502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(1,718)</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391,236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421,548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1,598,461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1,927,521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(17)</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128,321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140,749</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550,415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794,053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66,169</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67,861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276,957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284,809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158,833</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164,711</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647,964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716,612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6,108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19,456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23,666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93,732</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(75)</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2,358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1,210</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7,516</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1,363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256,830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(472)</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(1,689)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361,317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395,226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1,504,829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2,150,977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(30)</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16,595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27,062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66,632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55,572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(3,715)</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9,599</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16,798</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(43)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25,461</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20,076</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48,398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53,661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(6,084)</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(18,677)</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(23,452)</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(87,230)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73</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(2,358)</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(7,516)</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(5,523)</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(1,363)</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(256,830)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29,919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26,322</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93,632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(223,456)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4,497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4,249</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16,822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17,937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(6)</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1,450</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1,840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6,287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9,045</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3,784</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3,807</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17,523</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17,811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(2)</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134</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16,384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(97)</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9,865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10,032</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41,187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61,177</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(33)</w:t>
            </w:r>
          </w:p>
        </w:tc>
      </w:tr>
      <w:tr>
        <w:trPr>
          <w:trHeight w:val="251"/>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1,905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1,821</w:t>
            </w:r>
          </w:p>
        </w:tc>
        <w:tc>
          <w:tcPr>
            <w:tcW w:w="1180" w:type="dxa"/>
            <w:vAlign w:val="bottom"/>
          </w:tcPr>
          <w:p>
            <w:pPr>
              <w:jc w:val="right"/>
              <w:ind w:right="340"/>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7,620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10,849</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(30)</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768</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776</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3,072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3,101</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w:t>
            </w:r>
          </w:p>
        </w:tc>
      </w:tr>
      <w:tr>
        <w:trPr>
          <w:trHeight w:val="270"/>
        </w:trPr>
        <w:tc>
          <w:tcPr>
            <w:tcW w:w="462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268</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(37)</w:t>
            </w:r>
          </w:p>
        </w:tc>
      </w:tr>
      <w:tr>
        <w:trPr>
          <w:trHeight w:val="283"/>
        </w:trPr>
        <w:tc>
          <w:tcPr>
            <w:tcW w:w="462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690</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4,430</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(81)</w:t>
            </w:r>
          </w:p>
        </w:tc>
      </w:tr>
      <w:tr>
        <w:trPr>
          <w:trHeight w:val="264"/>
        </w:trPr>
        <w:tc>
          <w:tcPr>
            <w:tcW w:w="46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2,838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3,385</w:t>
            </w:r>
          </w:p>
        </w:tc>
        <w:tc>
          <w:tcPr>
            <w:tcW w:w="1180" w:type="dxa"/>
            <w:vAlign w:val="bottom"/>
          </w:tcPr>
          <w:p>
            <w:pPr>
              <w:jc w:val="right"/>
              <w:ind w:right="280"/>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11,803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18,804</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(37)</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44" w:right="239" w:bottom="1440" w:gutter="0" w:footer="0" w:header="0"/>
        </w:sectPr>
      </w:pPr>
    </w:p>
    <w:bookmarkStart w:id="14" w:name="page15"/>
    <w:bookmarkEnd w:id="14"/>
    <w:p>
      <w:pPr>
        <w:ind w:left="386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EDUCATION DIVISION INFORMATION</w:t>
      </w:r>
    </w:p>
    <w:p>
      <w:pPr>
        <w:spacing w:after="0" w:line="50" w:lineRule="exact"/>
        <w:rPr>
          <w:sz w:val="20"/>
          <w:szCs w:val="20"/>
          <w:color w:val="auto"/>
        </w:rPr>
      </w:pPr>
    </w:p>
    <w:p>
      <w:pPr>
        <w:ind w:left="3280"/>
        <w:spacing w:after="0"/>
        <w:rPr>
          <w:sz w:val="20"/>
          <w:szCs w:val="20"/>
          <w:color w:val="auto"/>
        </w:rPr>
      </w:pPr>
      <w:r>
        <w:rPr>
          <w:rFonts w:ascii="Arial" w:cs="Arial" w:eastAsia="Arial" w:hAnsi="Arial"/>
          <w:sz w:val="18"/>
          <w:szCs w:val="18"/>
          <w:u w:val="single" w:color="auto"/>
          <w:color w:val="auto"/>
        </w:rPr>
        <w:t>SUMMARY OF RESTRUCTURING CHARGES</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b w:val="1"/>
                <w:bCs w:val="1"/>
                <w:color w:val="auto"/>
              </w:rPr>
              <w:t>Lease</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rPr>
              <w:t>and SIP</w:t>
            </w:r>
          </w:p>
        </w:tc>
        <w:tc>
          <w:tcPr>
            <w:tcW w:w="240" w:type="dxa"/>
            <w:vAlign w:val="bottom"/>
          </w:tcPr>
          <w:p>
            <w:pPr>
              <w:spacing w:after="0"/>
              <w:rPr>
                <w:sz w:val="14"/>
                <w:szCs w:val="14"/>
                <w:color w:val="auto"/>
              </w:rPr>
            </w:pPr>
          </w:p>
        </w:tc>
        <w:tc>
          <w:tcPr>
            <w:tcW w:w="1100" w:type="dxa"/>
            <w:vAlign w:val="bottom"/>
          </w:tcPr>
          <w:p>
            <w:pPr>
              <w:jc w:val="right"/>
              <w:ind w:right="140"/>
              <w:spacing w:after="0"/>
              <w:rPr>
                <w:sz w:val="20"/>
                <w:szCs w:val="20"/>
                <w:color w:val="auto"/>
              </w:rPr>
            </w:pPr>
            <w:r>
              <w:rPr>
                <w:rFonts w:ascii="Arial" w:cs="Arial" w:eastAsia="Arial" w:hAnsi="Arial"/>
                <w:sz w:val="14"/>
                <w:szCs w:val="14"/>
                <w:b w:val="1"/>
                <w:bCs w:val="1"/>
                <w:color w:val="auto"/>
              </w:rPr>
              <w:t>Accelerated</w:t>
            </w:r>
          </w:p>
        </w:tc>
        <w:tc>
          <w:tcPr>
            <w:tcW w:w="240" w:type="dxa"/>
            <w:vAlign w:val="bottom"/>
          </w:tcPr>
          <w:p>
            <w:pPr>
              <w:spacing w:after="0"/>
              <w:rPr>
                <w:sz w:val="14"/>
                <w:szCs w:val="14"/>
                <w:color w:val="auto"/>
              </w:rPr>
            </w:pPr>
          </w:p>
        </w:tc>
        <w:tc>
          <w:tcPr>
            <w:tcW w:w="960" w:type="dxa"/>
            <w:vAlign w:val="bottom"/>
          </w:tcPr>
          <w:p>
            <w:pPr>
              <w:jc w:val="center"/>
              <w:ind w:right="141"/>
              <w:spacing w:after="0"/>
              <w:rPr>
                <w:sz w:val="20"/>
                <w:szCs w:val="20"/>
                <w:color w:val="auto"/>
              </w:rPr>
            </w:pPr>
            <w:r>
              <w:rPr>
                <w:rFonts w:ascii="Arial" w:cs="Arial" w:eastAsia="Arial" w:hAnsi="Arial"/>
                <w:sz w:val="14"/>
                <w:szCs w:val="14"/>
                <w:b w:val="1"/>
                <w:bCs w:val="1"/>
                <w:color w:val="auto"/>
              </w:rPr>
              <w:t>Obligation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Expense *</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Depreciation</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Losses</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4700" w:type="dxa"/>
            <w:vAlign w:val="bottom"/>
            <w:gridSpan w:val="4"/>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2,860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606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1,942</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94</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5,502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526</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220</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705</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1,471</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626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2,162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799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6,973</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1,049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3,703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523</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240" w:type="dxa"/>
            <w:vAlign w:val="bottom"/>
          </w:tcPr>
          <w:p>
            <w:pPr>
              <w:spacing w:after="0"/>
              <w:rPr>
                <w:sz w:val="24"/>
                <w:szCs w:val="24"/>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ind w:right="10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2,944</w:t>
            </w:r>
          </w:p>
        </w:tc>
        <w:tc>
          <w:tcPr>
            <w:tcW w:w="2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1,049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7,559</w:t>
            </w:r>
          </w:p>
        </w:tc>
        <w:tc>
          <w:tcPr>
            <w:tcW w:w="0" w:type="dxa"/>
            <w:vAlign w:val="bottom"/>
          </w:tcPr>
          <w:p>
            <w:pPr>
              <w:spacing w:after="0"/>
              <w:rPr>
                <w:sz w:val="1"/>
                <w:szCs w:val="1"/>
                <w:color w:val="auto"/>
              </w:rPr>
            </w:pPr>
          </w:p>
        </w:tc>
      </w:tr>
      <w:tr>
        <w:trPr>
          <w:trHeight w:val="20"/>
        </w:trPr>
        <w:tc>
          <w:tcPr>
            <w:tcW w:w="4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Twelve Months Ended December 31</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66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color w:val="auto"/>
              </w:rPr>
              <w:t>2016</w:t>
            </w:r>
          </w:p>
        </w:tc>
        <w:tc>
          <w:tcPr>
            <w:tcW w:w="8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3,399</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1,242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2,200</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358</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7,199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2,503</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573</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b w:val="1"/>
                <w:bCs w:val="1"/>
                <w:color w:val="auto"/>
              </w:rPr>
              <w:t>494</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1,083</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4,653</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1,815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2,694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1,441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11,852</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7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Higher education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7,531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1,773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3,371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12,884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Test preparation</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727</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1,325</w:t>
            </w:r>
          </w:p>
        </w:tc>
        <w:tc>
          <w:tcPr>
            <w:tcW w:w="240" w:type="dxa"/>
            <w:vAlign w:val="bottom"/>
          </w:tcPr>
          <w:p>
            <w:pPr>
              <w:spacing w:after="0"/>
              <w:rPr>
                <w:sz w:val="23"/>
                <w:szCs w:val="23"/>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660" w:type="dxa"/>
            <w:vAlign w:val="bottom"/>
            <w:gridSpan w:val="3"/>
          </w:tcPr>
          <w:p>
            <w:pPr>
              <w:ind w:left="14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8,385</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16,180</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4,869</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29,434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8,240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8"/>
        <w:spacing w:after="0" w:line="262"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$1.7 million and $2.1 million in third quarter 2015 expenses related to a Special Incentive Program (SIP) at Higher Education and Corporate, respectively. The SIP expense was funded from the assets of the Company's pension plan.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00"/>
          </w:cols>
          <w:pgMar w:left="240" w:top="544" w:right="5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OTHER BUSINESSES INFORMATION</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6"/>
                <w:szCs w:val="16"/>
                <w:color w:val="auto"/>
              </w:rPr>
            </w:pPr>
          </w:p>
        </w:tc>
      </w:tr>
      <w:tr>
        <w:trPr>
          <w:trHeight w:val="276"/>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right"/>
              <w:ind w:right="4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Arial" w:cs="Arial" w:eastAsia="Arial" w:hAnsi="Arial"/>
                <w:sz w:val="14"/>
                <w:szCs w:val="14"/>
                <w:color w:val="auto"/>
              </w:rPr>
              <w:t>%</w:t>
            </w:r>
          </w:p>
        </w:tc>
      </w:tr>
      <w:tr>
        <w:trPr>
          <w:trHeight w:val="264"/>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w w:val="96"/>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64,696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39,617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63</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241,604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92,255</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36,894</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36,853</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0</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146,962</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135,550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19,890</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16,195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58,851</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45,829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28</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8,072</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7,029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26,433</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25,883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129,552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99,694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473,850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299,517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59,742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36,842</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62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228,887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85,839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36,875</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35,240</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144,163</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129,317</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11</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17,035</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14,169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71,258</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46,375</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16,409</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16,728</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51,644</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130,061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102,979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495,952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313,184</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58</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4,954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2,775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79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12,717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98</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19</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1,613</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2,799</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6,233</w:t>
            </w: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2,855</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2,026</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(12,407)</w:t>
            </w:r>
          </w:p>
        </w:tc>
        <w:tc>
          <w:tcPr>
            <w:tcW w:w="4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(546)</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(8,337)</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(25,211)</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(22,102)</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(13,667)</w:t>
            </w:r>
          </w:p>
        </w:tc>
        <w:tc>
          <w:tcPr>
            <w:tcW w:w="9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1,663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1,175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42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7,251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1,868</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715</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2,805</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2,836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246</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88</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929</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362</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55</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1,390</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31</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2,986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31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12,375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6,168</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4"/>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78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3,397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2,135</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59</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12,119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6,319</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92</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1,673</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1,751</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6,701</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6,875</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1,624</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2,831</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1,687</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2,918</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6,694</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6,717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20,507</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16,112</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w:t>
            </w: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Manufacturing</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26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86</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4780" w:type="dxa"/>
            <w:vAlign w:val="bottom"/>
          </w:tcPr>
          <w:p>
            <w:pPr>
              <w:ind w:left="16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135</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3"/>
                <w:szCs w:val="23"/>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b w:val="1"/>
                <w:bCs w:val="1"/>
                <w:color w:val="auto"/>
              </w:rPr>
              <w:t>541</w:t>
            </w:r>
          </w:p>
        </w:tc>
        <w:tc>
          <w:tcPr>
            <w:tcW w:w="480" w:type="dxa"/>
            <w:vAlign w:val="bottom"/>
          </w:tcPr>
          <w:p>
            <w:pPr>
              <w:spacing w:after="0"/>
              <w:rPr>
                <w:sz w:val="23"/>
                <w:szCs w:val="23"/>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3"/>
        </w:trPr>
        <w:tc>
          <w:tcPr>
            <w:tcW w:w="4780" w:type="dxa"/>
            <w:vAlign w:val="bottom"/>
          </w:tcPr>
          <w:p>
            <w:pPr>
              <w:ind w:left="16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(29)</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491</w:t>
            </w: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4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257</w:t>
            </w:r>
          </w:p>
        </w:tc>
        <w:tc>
          <w:tcPr>
            <w:tcW w:w="1100" w:type="dxa"/>
            <w:vAlign w:val="bottom"/>
          </w:tcPr>
          <w:p>
            <w:pPr>
              <w:jc w:val="right"/>
              <w:ind w:right="24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1,118</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964</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16</w:t>
            </w:r>
          </w:p>
        </w:tc>
      </w:tr>
    </w:tbl>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-more-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60"/>
          </w:cols>
          <w:pgMar w:left="280" w:top="54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27" w:lineRule="exact"/>
        <w:rPr>
          <w:sz w:val="20"/>
          <w:szCs w:val="20"/>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36"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94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222"/>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color w:val="auto"/>
              </w:rPr>
              <w:t>Income (loss)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36,918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51,169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168,590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(143,456)</w:t>
            </w:r>
          </w:p>
        </w:tc>
        <w:tc>
          <w:tcPr>
            <w:tcW w:w="0" w:type="dxa"/>
            <w:vAlign w:val="bottom"/>
          </w:tcPr>
          <w:p>
            <w:pPr>
              <w:spacing w:after="0"/>
              <w:rPr>
                <w:sz w:val="1"/>
                <w:szCs w:val="1"/>
                <w:color w:val="auto"/>
              </w:rPr>
            </w:pPr>
          </w:p>
        </w:tc>
      </w:tr>
      <w:tr>
        <w:trPr>
          <w:trHeight w:val="251"/>
        </w:trPr>
        <w:tc>
          <w:tcPr>
            <w:tcW w:w="6980" w:type="dxa"/>
            <w:vAlign w:val="bottom"/>
          </w:tcPr>
          <w:p>
            <w:pPr>
              <w:ind w:left="20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Settlement gain related to a bulk lump sum pension offering</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(10,796)</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(10,796)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long-lived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3,688</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225,190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Restructuring and early retirement program charges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4,532</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5,544</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7,704</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28,887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Modification of stock options and restricted stock</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3,723</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15,349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Net loss (gain) from the sales of land and marketable securities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5,044</w:t>
            </w:r>
          </w:p>
        </w:tc>
        <w:tc>
          <w:tcPr>
            <w:tcW w:w="3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(13,191)</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(19,960)</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(13,191)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Write-downs of cost method and equity method investments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14,459</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24,059</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980" w:type="dxa"/>
            <w:vAlign w:val="bottom"/>
          </w:tcPr>
          <w:p>
            <w:pPr>
              <w:ind w:left="280"/>
              <w:spacing w:after="0"/>
              <w:rPr>
                <w:sz w:val="20"/>
                <w:szCs w:val="20"/>
                <w:color w:val="auto"/>
              </w:rPr>
            </w:pPr>
            <w:r>
              <w:rPr>
                <w:rFonts w:ascii="Arial" w:cs="Arial" w:eastAsia="Arial" w:hAnsi="Arial"/>
                <w:sz w:val="16"/>
                <w:szCs w:val="16"/>
                <w:color w:val="auto"/>
              </w:rPr>
              <w:t>Net (gains) losses from the sales of businesses, an investment and the formation of a joint</w:t>
            </w:r>
          </w:p>
        </w:tc>
        <w:tc>
          <w:tcPr>
            <w:tcW w:w="240" w:type="dxa"/>
            <w:vAlign w:val="bottom"/>
          </w:tcPr>
          <w:p>
            <w:pPr>
              <w:spacing w:after="0"/>
              <w:rPr>
                <w:sz w:val="20"/>
                <w:szCs w:val="2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(13,581)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980" w:type="dxa"/>
            <w:vAlign w:val="bottom"/>
          </w:tcPr>
          <w:p>
            <w:pPr>
              <w:ind w:left="280"/>
              <w:spacing w:after="0"/>
              <w:rPr>
                <w:sz w:val="20"/>
                <w:szCs w:val="20"/>
                <w:color w:val="auto"/>
              </w:rPr>
            </w:pPr>
            <w:r>
              <w:rPr>
                <w:rFonts w:ascii="Arial" w:cs="Arial" w:eastAsia="Arial" w:hAnsi="Arial"/>
                <w:sz w:val="16"/>
                <w:szCs w:val="16"/>
                <w:color w:val="auto"/>
              </w:rPr>
              <w:t>venture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15,666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4,203</w:t>
            </w:r>
          </w:p>
        </w:tc>
        <w:tc>
          <w:tcPr>
            <w:tcW w:w="3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25,530</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9,677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(8,286)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(5,631)</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54,360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50,546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167,629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138,122</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980" w:type="dxa"/>
            <w:vAlign w:val="bottom"/>
          </w:tcPr>
          <w:p>
            <w:pPr>
              <w:ind w:left="180"/>
              <w:spacing w:after="0"/>
              <w:rPr>
                <w:sz w:val="20"/>
                <w:szCs w:val="20"/>
                <w:color w:val="auto"/>
              </w:rPr>
            </w:pPr>
            <w:r>
              <w:rPr>
                <w:rFonts w:ascii="Arial" w:cs="Arial" w:eastAsia="Arial" w:hAnsi="Arial"/>
                <w:sz w:val="16"/>
                <w:szCs w:val="16"/>
                <w:color w:val="auto"/>
              </w:rPr>
              <w:t>Diluted income (loss) per common share from continuing operations, as reported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6.57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29.80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64"/>
        </w:trPr>
        <w:tc>
          <w:tcPr>
            <w:tcW w:w="6980" w:type="dxa"/>
            <w:vAlign w:val="bottom"/>
          </w:tcPr>
          <w:p>
            <w:pPr>
              <w:ind w:left="28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Settlement gain related to a bulk lump sum pension offering</w:t>
            </w:r>
          </w:p>
        </w:tc>
        <w:tc>
          <w:tcPr>
            <w:tcW w:w="2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(1.92)</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long-lived assets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0.63</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38.96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Restructuring and early retirement program charges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0.81</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0.96</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Modification of stock options and restricted stock</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0.63</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Net loss (gain) from the sales of land and marketable securities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0.90</w:t>
            </w:r>
          </w:p>
        </w:tc>
        <w:tc>
          <w:tcPr>
            <w:tcW w:w="3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(3.52)</w:t>
            </w:r>
          </w:p>
        </w:tc>
        <w:tc>
          <w:tcPr>
            <w:tcW w:w="2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Write-downs of cost method and equity method investments</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2.57</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4.27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980" w:type="dxa"/>
            <w:vAlign w:val="bottom"/>
          </w:tcPr>
          <w:p>
            <w:pPr>
              <w:ind w:left="280"/>
              <w:spacing w:after="0"/>
              <w:rPr>
                <w:sz w:val="20"/>
                <w:szCs w:val="20"/>
                <w:color w:val="auto"/>
              </w:rPr>
            </w:pPr>
            <w:r>
              <w:rPr>
                <w:rFonts w:ascii="Arial" w:cs="Arial" w:eastAsia="Arial" w:hAnsi="Arial"/>
                <w:sz w:val="16"/>
                <w:szCs w:val="16"/>
                <w:color w:val="auto"/>
              </w:rPr>
              <w:t>Net (gains) losses from the sales of businesses, an investment and the formation of a joint</w:t>
            </w:r>
          </w:p>
        </w:tc>
        <w:tc>
          <w:tcPr>
            <w:tcW w:w="240" w:type="dxa"/>
            <w:vAlign w:val="bottom"/>
          </w:tcPr>
          <w:p>
            <w:pPr>
              <w:spacing w:after="0"/>
              <w:rPr>
                <w:sz w:val="20"/>
                <w:szCs w:val="20"/>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(2.37)</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980" w:type="dxa"/>
            <w:vAlign w:val="bottom"/>
          </w:tcPr>
          <w:p>
            <w:pPr>
              <w:ind w:left="440"/>
              <w:spacing w:after="0"/>
              <w:rPr>
                <w:sz w:val="20"/>
                <w:szCs w:val="20"/>
                <w:color w:val="auto"/>
              </w:rPr>
            </w:pPr>
            <w:r>
              <w:rPr>
                <w:rFonts w:ascii="Arial" w:cs="Arial" w:eastAsia="Arial" w:hAnsi="Arial"/>
                <w:sz w:val="16"/>
                <w:szCs w:val="16"/>
                <w:color w:val="auto"/>
              </w:rPr>
              <w:t>venture</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0.75</w:t>
            </w:r>
          </w:p>
        </w:tc>
        <w:tc>
          <w:tcPr>
            <w:tcW w:w="3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28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4.51</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Nonrecurring deferred tax benefit</w:t>
            </w:r>
          </w:p>
        </w:tc>
        <w:tc>
          <w:tcPr>
            <w:tcW w:w="24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9.68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29.66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adjusted diluted per share amounts may not compute due to rounding.</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59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2019-12-05T08:07:26Z</dcterms:created>
  <dcterms:modified xsi:type="dcterms:W3CDTF">2019-12-05T08:07:26Z</dcterms:modified>
</cp:coreProperties>
</file>