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135255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6"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86"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77"/>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190"/>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15"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30, 2015: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4,876,353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10340" w:type="dxa"/>
            <w:vAlign w:val="bottom"/>
          </w:tcPr>
          <w:p>
            <w:pPr>
              <w:ind w:left="3460"/>
              <w:spacing w:after="0"/>
              <w:rPr>
                <w:sz w:val="20"/>
                <w:szCs w:val="20"/>
                <w:color w:val="auto"/>
              </w:rPr>
            </w:pPr>
            <w:r>
              <w:rPr>
                <w:rFonts w:ascii="Arial" w:cs="Arial" w:eastAsia="Arial" w:hAnsi="Arial"/>
                <w:sz w:val="18"/>
                <w:szCs w:val="18"/>
                <w:b w:val="1"/>
                <w:bCs w:val="1"/>
                <w:color w:val="auto"/>
              </w:rPr>
              <w:t>GRAHAM HOLDINGS COMPANY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840" w:type="dxa"/>
            <w:vAlign w:val="bottom"/>
          </w:tcPr>
          <w:p>
            <w:pPr>
              <w:spacing w:after="0"/>
              <w:rPr>
                <w:sz w:val="24"/>
                <w:szCs w:val="24"/>
                <w:color w:val="auto"/>
              </w:rPr>
            </w:pPr>
          </w:p>
        </w:tc>
        <w:tc>
          <w:tcPr>
            <w:tcW w:w="10340" w:type="dxa"/>
            <w:vAlign w:val="bottom"/>
          </w:tcPr>
          <w:p>
            <w:pPr>
              <w:ind w:left="40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8"/>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1"/>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Nine Months Ended September 30, 2015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2014</w:t>
            </w:r>
          </w:p>
        </w:tc>
        <w:tc>
          <w:tcPr>
            <w:tcW w:w="180" w:type="dxa"/>
            <w:vAlign w:val="bottom"/>
            <w:gridSpan w:val="2"/>
          </w:tcPr>
          <w:p>
            <w:pPr>
              <w:jc w:val="right"/>
              <w:spacing w:after="0" w:line="160" w:lineRule="exact"/>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(Loss) Income (Unaudited) for the Three and Nine Months Ended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September 30, 2015 and 2014</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September 30, 2015 (Unaudited) and December 31,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Nine Months Ended September 30, 2015 and 2014</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28</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37</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37</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38</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39</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40</w:t>
              </w:r>
            </w:hyperlink>
          </w:p>
        </w:tc>
      </w:tr>
    </w:tbl>
    <w:p>
      <w:pPr>
        <w:sectPr>
          <w:pgSz w:w="11900" w:h="16838" w:orient="portrait"/>
          <w:cols w:equalWidth="0" w:num="1">
            <w:col w:w="11360"/>
          </w:cols>
          <w:pgMar w:left="280" w:top="57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2014</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481,687</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543,918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1,505,914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1,609,036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68,898</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72,951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205,489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216,653</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90,847</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86,336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258,344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183,718</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641,432</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703,205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1,969,747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2,009,407</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302,029</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326,395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922,373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944,066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285,563</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309,583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864,380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862,379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14,460</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18,664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62,266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56,295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4,512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7,354</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13,897</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12,972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248,591</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255,467</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855,155</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661,996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2,118,383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1,875,712</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(Loss) Income from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(213,723)</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41,209</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(148,636)</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133,695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95</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4,613</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(662)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100,168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481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1,363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(7,830)</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(9,298)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(24,679)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(26,610)</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(40,458)</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(29,885)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390,664</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(261,435)</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26,330</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(202,499)</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599,686</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(Benefit) 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(30,500)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140,300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(230,935)</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10,230</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(192,499)</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459,386</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379</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66,209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42,170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499,208</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(230,556)</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76,439</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(150,329)</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958,594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(230,843)</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76,560</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(151,824)</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959,433</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(230,843)</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(152,455)</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76,351</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958,586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(Loss) 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(231,222)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10,142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(194,625)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459,378</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379</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66,209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42,170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499,208</w:t>
            </w:r>
          </w:p>
        </w:tc>
        <w:tc>
          <w:tcPr>
            <w:tcW w:w="0" w:type="dxa"/>
            <w:vAlign w:val="bottom"/>
          </w:tcPr>
          <w:p>
            <w:pPr>
              <w:spacing w:after="0"/>
              <w:rPr>
                <w:sz w:val="1"/>
                <w:szCs w:val="1"/>
                <w:color w:val="auto"/>
              </w:rPr>
            </w:pPr>
          </w:p>
        </w:tc>
      </w:tr>
      <w:tr>
        <w:trPr>
          <w:trHeight w:val="204"/>
        </w:trPr>
        <w:tc>
          <w:tcPr>
            <w:tcW w:w="6060" w:type="dxa"/>
            <w:vAlign w:val="bottom"/>
          </w:tcPr>
          <w:p>
            <w:pPr>
              <w:ind w:left="280"/>
              <w:spacing w:after="0"/>
              <w:rPr>
                <w:sz w:val="20"/>
                <w:szCs w:val="20"/>
                <w:color w:val="auto"/>
              </w:rPr>
            </w:pPr>
            <w:r>
              <w:rPr>
                <w:rFonts w:ascii="Arial" w:cs="Arial" w:eastAsia="Arial" w:hAnsi="Arial"/>
                <w:sz w:val="16"/>
                <w:szCs w:val="16"/>
                <w:color w:val="auto"/>
              </w:rPr>
              <w:t>Net (loss)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(230,843)</w:t>
            </w: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76,351</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(152,455)</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958,586</w:t>
            </w:r>
          </w:p>
        </w:tc>
        <w:tc>
          <w:tcPr>
            <w:tcW w:w="0" w:type="dxa"/>
            <w:vAlign w:val="bottom"/>
          </w:tcPr>
          <w:p>
            <w:pPr>
              <w:spacing w:after="0"/>
              <w:rPr>
                <w:sz w:val="1"/>
                <w:szCs w:val="1"/>
                <w:color w:val="auto"/>
              </w:rPr>
            </w:pPr>
          </w:p>
        </w:tc>
      </w:tr>
      <w:tr>
        <w:trPr>
          <w:trHeight w:val="200"/>
        </w:trPr>
        <w:tc>
          <w:tcPr>
            <w:tcW w:w="6060" w:type="dxa"/>
            <w:vAlign w:val="bottom"/>
          </w:tcPr>
          <w:p>
            <w:pPr>
              <w:ind w:left="440"/>
              <w:spacing w:after="0"/>
              <w:rPr>
                <w:sz w:val="20"/>
                <w:szCs w:val="20"/>
                <w:color w:val="auto"/>
              </w:rPr>
            </w:pPr>
            <w:r>
              <w:rPr>
                <w:rFonts w:ascii="Arial" w:cs="Arial" w:eastAsia="Arial" w:hAnsi="Arial"/>
                <w:sz w:val="16"/>
                <w:szCs w:val="16"/>
                <w:color w:val="auto"/>
              </w:rPr>
              <w:t>stockholders</w:t>
            </w: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(40.32)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(34.18)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0.07</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7.99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72.53</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(40.25)</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(26.19)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5,738</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5,671</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5,721</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(40.32)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(34.18)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0.07</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7.99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72.27</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(40.25)</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(26.19)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138.79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5,837</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5,757</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5,811</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2"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2"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80" w:type="dxa"/>
            <w:vAlign w:val="bottom"/>
          </w:tcPr>
          <w:p>
            <w:pPr>
              <w:spacing w:after="0"/>
              <w:rPr>
                <w:sz w:val="17"/>
                <w:szCs w:val="17"/>
                <w:color w:val="auto"/>
              </w:rPr>
            </w:pPr>
          </w:p>
        </w:tc>
        <w:tc>
          <w:tcPr>
            <w:tcW w:w="222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r>
    </w:tbl>
    <w:p>
      <w:pPr>
        <w:spacing w:after="0" w:line="36"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(Loss)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right="2340"/>
        <w:spacing w:after="0" w:line="366"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(expense) related to items of other comprehensive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(Loss)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280" w:hanging="256"/>
        <w:spacing w:after="0"/>
        <w:tabs>
          <w:tab w:leader="none" w:pos="2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(230,556)  </w:t>
      </w:r>
      <w:r>
        <w:rPr>
          <w:rFonts w:ascii="Arial" w:cs="Arial" w:eastAsia="Arial" w:hAnsi="Arial"/>
          <w:sz w:val="16"/>
          <w:szCs w:val="16"/>
          <w:color w:val="auto"/>
        </w:rPr>
        <w:t>$    76,439</w:t>
      </w:r>
      <w:r>
        <w:rPr>
          <w:rFonts w:ascii="Arial" w:cs="Arial" w:eastAsia="Arial" w:hAnsi="Arial"/>
          <w:sz w:val="16"/>
          <w:szCs w:val="16"/>
          <w:b w:val="1"/>
          <w:bCs w:val="1"/>
          <w:color w:val="auto"/>
        </w:rPr>
        <w:t xml:space="preserve">   $  (150,329)  </w:t>
      </w:r>
      <w:r>
        <w:rPr>
          <w:rFonts w:ascii="Arial" w:cs="Arial" w:eastAsia="Arial" w:hAnsi="Arial"/>
          <w:sz w:val="16"/>
          <w:szCs w:val="16"/>
          <w:color w:val="auto"/>
        </w:rPr>
        <w:t>$   958,594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(10,548)</w:t>
            </w:r>
          </w:p>
        </w:tc>
        <w:tc>
          <w:tcPr>
            <w:tcW w:w="3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(9,777)</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(17,387)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(7,111)</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6,026</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5,501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(4,522)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(11,886)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(7,111)</w:t>
            </w:r>
          </w:p>
        </w:tc>
      </w:tr>
      <w:tr>
        <w:trPr>
          <w:trHeight w:val="521"/>
        </w:trPr>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3,836</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9,734</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(16,497)</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46,139</w:t>
            </w:r>
          </w:p>
        </w:tc>
      </w:tr>
      <w:tr>
        <w:trPr>
          <w:trHeight w:val="445"/>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(265,274)</w:t>
            </w:r>
          </w:p>
        </w:tc>
      </w:tr>
      <w:tr>
        <w:trPr>
          <w:trHeight w:val="251"/>
        </w:trPr>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3,836</w:t>
            </w:r>
          </w:p>
        </w:tc>
        <w:tc>
          <w:tcPr>
            <w:tcW w:w="34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9,734</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(16,497)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(219,135)</w:t>
            </w:r>
          </w:p>
        </w:tc>
      </w:tr>
      <w:tr>
        <w:trPr>
          <w:trHeight w:val="540"/>
        </w:trPr>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68</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70"/>
        </w:trPr>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(5,676)</w:t>
            </w:r>
          </w:p>
        </w:tc>
        <w:tc>
          <w:tcPr>
            <w:tcW w:w="3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(4,419)</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(22,032)</w:t>
            </w:r>
          </w:p>
        </w:tc>
      </w:tr>
      <w:tr>
        <w:trPr>
          <w:trHeight w:val="270"/>
        </w:trPr>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34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1,403</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1,403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(4,154)</w:t>
            </w:r>
          </w:p>
        </w:tc>
        <w:tc>
          <w:tcPr>
            <w:tcW w:w="3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(7,526)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(2,758)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(22,337)</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179</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w:t>
            </w:r>
          </w:p>
        </w:tc>
      </w:tr>
      <w:tr>
        <w:trPr>
          <w:trHeight w:val="251"/>
        </w:trPr>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(4,840)</w:t>
            </w:r>
          </w:p>
        </w:tc>
        <w:tc>
          <w:tcPr>
            <w:tcW w:w="34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(7,339)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(30,962)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(247,942)</w:t>
            </w:r>
          </w:p>
        </w:tc>
      </w:tr>
      <w:tr>
        <w:trPr>
          <w:trHeight w:val="283"/>
        </w:trPr>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(975)</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7,632</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96,333</w:t>
            </w:r>
          </w:p>
        </w:tc>
      </w:tr>
      <w:tr>
        <w:trPr>
          <w:trHeight w:val="264"/>
        </w:trPr>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(4,713)</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(8,314)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(151,609)</w:t>
            </w:r>
          </w:p>
        </w:tc>
      </w:tr>
      <w:tr>
        <w:trPr>
          <w:trHeight w:val="251"/>
        </w:trPr>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(235,269)</w:t>
            </w:r>
          </w:p>
        </w:tc>
        <w:tc>
          <w:tcPr>
            <w:tcW w:w="34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68,125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(173,659)</w:t>
            </w:r>
          </w:p>
        </w:tc>
        <w:tc>
          <w:tcPr>
            <w:tcW w:w="2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806,985</w:t>
            </w:r>
          </w:p>
        </w:tc>
      </w:tr>
      <w:tr>
        <w:trPr>
          <w:trHeight w:val="283"/>
        </w:trPr>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(287)</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r>
      <w:tr>
        <w:trPr>
          <w:trHeight w:val="264"/>
        </w:trPr>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(235,556)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68,246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(175,154)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807,824</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180"/>
            <w:col w:w="4440"/>
          </w:cols>
          <w:pgMar w:left="240" w:top="576" w:right="239" w:bottom="1440" w:gutter="0" w:footer="0" w:header="0"/>
          <w:type w:val="continuous"/>
        </w:sectPr>
      </w:pPr>
    </w:p>
    <w:bookmarkStart w:id="4" w:name="page5"/>
    <w:bookmarkEnd w:id="4"/>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26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r>
      <w:tr>
        <w:trPr>
          <w:trHeight w:val="258"/>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977,991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772,751</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25,347</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24,898</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343,076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226,752</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498,710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571,357</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41,035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4,595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934</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12,206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11,309</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53,171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81,462</w:t>
            </w: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Current assets held for sale ($1,235 of cash)</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w:t>
            </w: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1,956,131</w:t>
            </w:r>
          </w:p>
        </w:tc>
        <w:tc>
          <w:tcPr>
            <w:tcW w:w="3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1,690,703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203,113</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860,829</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53,198</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947,356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14,645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516,753</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81,814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96,947</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1,189,181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78,891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65,258</w:t>
            </w: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w:t>
            </w: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4,524,329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18" w:orient="portrait"/>
          <w:cols w:equalWidth="0" w:num="1">
            <w:col w:w="11380"/>
          </w:cols>
          <w:pgMar w:left="260" w:top="576" w:right="259" w:bottom="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Equity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declared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Redeemable preferred stock</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liabilities held for sale</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Postretirement Benefits Other Than Pensions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Accrued Compensation and Related Benefits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Debt</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Noncontrolling Interest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410,192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464,342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128,895</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334,328</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410,146</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6,715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3,000</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46,375</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10,510</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764,745</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1,050,792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38,507</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37,962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215,077</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244,082</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73,182</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91,789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447,158</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754,960</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399,822</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399,545</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1,938,491</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2,579,130</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23,415</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21,904</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10,510</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305" w:lineRule="exact"/>
        <w:rPr>
          <w:sz w:val="20"/>
          <w:szCs w:val="20"/>
          <w:color w:val="auto"/>
        </w:rPr>
      </w:pPr>
    </w:p>
    <w:p>
      <w:pPr>
        <w:sectPr>
          <w:pgSz w:w="11900" w:h="16918" w:orient="portrait"/>
          <w:cols w:equalWidth="0" w:num="2">
            <w:col w:w="7600" w:space="720"/>
            <w:col w:w="3060"/>
          </w:cols>
          <w:pgMar w:left="260" w:top="576" w:right="259" w:bottom="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30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20,000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345,074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303,789</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5,396,508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6,008,506</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net of tax</w:t>
            </w:r>
          </w:p>
        </w:tc>
        <w:tc>
          <w:tcPr>
            <w:tcW w:w="18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(3,338)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8,548</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available-for-sale securities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42,232</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52,130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391,256</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392,910</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83"/>
        </w:trPr>
        <w:tc>
          <w:tcPr>
            <w:tcW w:w="8300" w:type="dxa"/>
            <w:vAlign w:val="bottom"/>
          </w:tcPr>
          <w:p>
            <w:pPr>
              <w:ind w:left="260"/>
              <w:spacing w:after="0"/>
              <w:rPr>
                <w:sz w:val="20"/>
                <w:szCs w:val="20"/>
                <w:color w:val="auto"/>
              </w:rPr>
            </w:pPr>
            <w:r>
              <w:rPr>
                <w:rFonts w:ascii="Arial" w:cs="Arial" w:eastAsia="Arial" w:hAnsi="Arial"/>
                <w:sz w:val="16"/>
                <w:szCs w:val="16"/>
                <w:color w:val="auto"/>
              </w:rPr>
              <w:t>Cost of Class B common stock held in treasury</w:t>
            </w: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(3,629,309)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(3,645,476)</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2,562,423</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3,140,299</w:t>
            </w:r>
          </w:p>
        </w:tc>
      </w:tr>
      <w:tr>
        <w:trPr>
          <w:trHeight w:val="264"/>
        </w:trPr>
        <w:tc>
          <w:tcPr>
            <w:tcW w:w="83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r>
      <w:tr>
        <w:trPr>
          <w:trHeight w:val="210"/>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ectPr>
          <w:pgSz w:w="11900" w:h="16918" w:orient="portrait"/>
          <w:cols w:equalWidth="0" w:num="1">
            <w:col w:w="11380"/>
          </w:cols>
          <w:pgMar w:left="260" w:top="576" w:right="259" w:bottom="0" w:gutter="0" w:footer="0" w:header="0"/>
          <w:type w:val="continuous"/>
        </w:sectPr>
      </w:pPr>
    </w:p>
    <w:bookmarkStart w:id="5" w:name="page6"/>
    <w:bookmarkEnd w:id="5"/>
    <w:p>
      <w:pPr>
        <w:jc w:val="both"/>
        <w:ind w:left="9000"/>
        <w:spacing w:after="0"/>
        <w:tabs>
          <w:tab w:leader="none" w:pos="10560" w:val="left"/>
        </w:tabs>
        <w:rPr>
          <w:sz w:val="20"/>
          <w:szCs w:val="20"/>
          <w:color w:val="auto"/>
        </w:rPr>
      </w:pPr>
      <w:r>
        <w:rPr>
          <w:rFonts w:ascii="Arial" w:cs="Arial" w:eastAsia="Arial" w:hAnsi="Arial"/>
          <w:sz w:val="16"/>
          <w:szCs w:val="16"/>
          <w:b w:val="1"/>
          <w:bCs w:val="1"/>
          <w:color w:val="auto"/>
        </w:rPr>
        <w:t>2,562,423</w:t>
      </w:r>
      <w:r>
        <w:rPr>
          <w:sz w:val="20"/>
          <w:szCs w:val="20"/>
          <w:color w:val="auto"/>
        </w:rPr>
        <w:tab/>
      </w:r>
      <w:r>
        <w:rPr>
          <w:rFonts w:ascii="Arial" w:cs="Arial" w:eastAsia="Arial" w:hAnsi="Arial"/>
          <w:sz w:val="16"/>
          <w:szCs w:val="16"/>
          <w:color w:val="auto"/>
        </w:rPr>
        <w:t>3,140,775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48895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7" w:lineRule="exact"/>
        <w:rPr>
          <w:sz w:val="20"/>
          <w:szCs w:val="20"/>
          <w:color w:val="auto"/>
        </w:rPr>
      </w:pPr>
    </w:p>
    <w:p>
      <w:pPr>
        <w:ind w:left="720"/>
        <w:spacing w:after="0"/>
        <w:tabs>
          <w:tab w:leader="none" w:pos="8340" w:val="left"/>
          <w:tab w:leader="none" w:pos="8980" w:val="left"/>
          <w:tab w:leader="none" w:pos="9940" w:val="left"/>
          <w:tab w:leader="none" w:pos="10560" w:val="left"/>
        </w:tabs>
        <w:rPr>
          <w:sz w:val="20"/>
          <w:szCs w:val="20"/>
          <w:color w:val="auto"/>
        </w:rPr>
      </w:pPr>
      <w:r>
        <w:rPr>
          <w:rFonts w:ascii="Arial" w:cs="Arial" w:eastAsia="Arial" w:hAnsi="Arial"/>
          <w:sz w:val="16"/>
          <w:szCs w:val="16"/>
          <w:b w:val="1"/>
          <w:bCs w:val="1"/>
          <w:color w:val="auto"/>
        </w:rPr>
        <w:t>Total Liabilities and Equity</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4,524,329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5,752,319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48895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(150,329)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958,594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134,019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159,917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13,958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13,847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Goodwill and other long-lived assets impairment charges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255,467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7,774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(45,081)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(51,637)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3,734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8,374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38,423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13,123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16,191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2,618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18,095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(354,612)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disposition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1,364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(266,173)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Gain on sale of equity affiliate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(4,827)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 of certain distributions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853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(96,315)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(Benefit) provision for deferred income taxes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(29,152)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8,329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loss (gain)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1,539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(119,158)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sale of intangible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(75,249)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restricted cash</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45,174</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accounts receivable,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(20,480)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(12,867)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74,112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(46,673)</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deferred revenue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(11,880)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70,011</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income taxes payable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(159,490)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68,081</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(21,061)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15,300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1,101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116,107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346,870</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(135,124)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(120,018)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(172,434)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(19,038)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(8,388)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248,938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commercial paper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(399,758)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maturities of commercial paper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349,793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(200,793)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distribution from equity affiliate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93,481</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(5,040)</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(274,927)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(94,258)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550,000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(94,115)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(47,006)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(53,131)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(41,815)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11,308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5,056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(9,944)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 including the Berkshire Exchange transaction</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(327,718)</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5,334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373,762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(376,136)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(10,937)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204,005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(126,460)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773,986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569,719</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977,991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443,259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76" w:right="239" w:bottom="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76" w:right="2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 The Company's other business operations include home health and hospice services and manufacturing.</w:t>
      </w:r>
    </w:p>
    <w:p>
      <w:pPr>
        <w:spacing w:after="0" w:line="135"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On July 1, 2015, the Company completed the spin-off of its wholly owned subsidiary, Cable One, Inc. (Cable ONE), by way of a distribution of all the issued and outstanding shares of Cable ONE common stock, on a pro rata basis, to the Company's stockholders. The operating results of Cable ONE have been presented in income from discontinued operations, net of tax, for all periods presented.</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September 3, 2015, Kaplan completed the sale of substantially all of the assets of its Kaplan Higher Education (KHE) Campuses business, consisting of 38 nationally accredited ground campuses and certain related assets, to Education Corporation of America (ECA) in exchange for a preferred equity interest in ECA. The loss on the sale of the KHE Campuses business is included in other (expense) income, net, in the Condensed Consolidated Statement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2015 and 2014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2014.</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Revision of Prior Period Amounts </w:t>
      </w:r>
      <w:r>
        <w:rPr>
          <w:rFonts w:ascii="Arial" w:cs="Arial" w:eastAsia="Arial" w:hAnsi="Arial"/>
          <w:sz w:val="18"/>
          <w:szCs w:val="18"/>
          <w:color w:val="auto"/>
        </w:rPr>
        <w:t>– During the preparation of the 2014 financial statements, the Company concluded that its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 of Cash Flows for the nine months ended September 30, 2014, that was previously included in the Company's quarterly reports, should be revised to correct the impact of accounts payable and accrued expenses related to capital expenditures. The Company revised its Condensed Consolidated Statement of Cash Flows for the nine months ended September 30, 2014 to properly eliminate noncash capital expenditures. The result of this correction for the nine months ended September 30, 2014, was an increase in net cash used in investing activities of $10.0 million, with an offsetting increase recorded to net cash provided by operating activities during the same period.</w:t>
      </w:r>
    </w:p>
    <w:p>
      <w:pPr>
        <w:spacing w:after="0" w:line="13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Management has concluded that this error is not material to the previously issued Condensed Consolidated Financial Statements, and, as a result, the Company has revised the Condensed Consolidated Statement of Cash Flows for the nine months ended September 30, 2014. There was no impact on the previously reported total cash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and cash equivalents, Condensed Consolidated Balance Sheet or Condensed Consolidated Statement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detailed below, these revisions impacted the following consolidated cash flow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5"/>
          </w:tcPr>
          <w:p>
            <w:pPr>
              <w:jc w:val="right"/>
              <w:ind w:right="542"/>
              <w:spacing w:after="0"/>
              <w:rPr>
                <w:sz w:val="20"/>
                <w:szCs w:val="20"/>
                <w:color w:val="auto"/>
              </w:rPr>
            </w:pPr>
            <w:r>
              <w:rPr>
                <w:rFonts w:ascii="Arial" w:cs="Arial" w:eastAsia="Arial" w:hAnsi="Arial"/>
                <w:sz w:val="14"/>
                <w:szCs w:val="14"/>
                <w:b w:val="1"/>
                <w:bCs w:val="1"/>
                <w:color w:val="auto"/>
              </w:rPr>
              <w:t>Nine Months Ended September 30, 2014</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Previously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70"/>
        </w:trPr>
        <w:tc>
          <w:tcPr>
            <w:tcW w:w="740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3"/>
                <w:szCs w:val="23"/>
                <w:color w:val="auto"/>
              </w:rPr>
            </w:pPr>
          </w:p>
        </w:tc>
        <w:tc>
          <w:tcPr>
            <w:tcW w:w="1120" w:type="dxa"/>
            <w:vAlign w:val="bottom"/>
          </w:tcPr>
          <w:p>
            <w:pPr>
              <w:jc w:val="center"/>
              <w:ind w:right="143"/>
              <w:spacing w:after="0"/>
              <w:rPr>
                <w:sz w:val="20"/>
                <w:szCs w:val="20"/>
                <w:color w:val="auto"/>
              </w:rPr>
            </w:pPr>
            <w:r>
              <w:rPr>
                <w:rFonts w:ascii="Arial" w:cs="Arial" w:eastAsia="Arial" w:hAnsi="Arial"/>
                <w:sz w:val="14"/>
                <w:szCs w:val="14"/>
                <w:b w:val="1"/>
                <w:bCs w:val="1"/>
                <w:color w:val="auto"/>
              </w:rPr>
              <w:t>Reported</w:t>
            </w:r>
          </w:p>
        </w:tc>
        <w:tc>
          <w:tcPr>
            <w:tcW w:w="300" w:type="dxa"/>
            <w:vAlign w:val="bottom"/>
          </w:tcPr>
          <w:p>
            <w:pPr>
              <w:spacing w:after="0"/>
              <w:rPr>
                <w:sz w:val="23"/>
                <w:szCs w:val="23"/>
                <w:color w:val="auto"/>
              </w:rPr>
            </w:pPr>
          </w:p>
        </w:tc>
        <w:tc>
          <w:tcPr>
            <w:tcW w:w="1060" w:type="dxa"/>
            <w:vAlign w:val="bottom"/>
          </w:tcPr>
          <w:p>
            <w:pPr>
              <w:jc w:val="right"/>
              <w:ind w:right="281"/>
              <w:spacing w:after="0"/>
              <w:rPr>
                <w:sz w:val="20"/>
                <w:szCs w:val="20"/>
                <w:color w:val="auto"/>
              </w:rPr>
            </w:pPr>
            <w:r>
              <w:rPr>
                <w:rFonts w:ascii="Arial" w:cs="Arial" w:eastAsia="Arial" w:hAnsi="Arial"/>
                <w:sz w:val="14"/>
                <w:szCs w:val="14"/>
                <w:b w:val="1"/>
                <w:bCs w:val="1"/>
                <w:color w:val="auto"/>
              </w:rPr>
              <w:t>Revision</w:t>
            </w:r>
          </w:p>
        </w:tc>
        <w:tc>
          <w:tcPr>
            <w:tcW w:w="30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Revised</w:t>
            </w:r>
          </w:p>
        </w:tc>
        <w:tc>
          <w:tcPr>
            <w:tcW w:w="0" w:type="dxa"/>
            <w:vAlign w:val="bottom"/>
          </w:tcPr>
          <w:p>
            <w:pPr>
              <w:spacing w:after="0"/>
              <w:rPr>
                <w:sz w:val="1"/>
                <w:szCs w:val="1"/>
                <w:color w:val="auto"/>
              </w:rPr>
            </w:pPr>
          </w:p>
        </w:tc>
      </w:tr>
      <w:tr>
        <w:trPr>
          <w:trHeight w:val="60"/>
        </w:trPr>
        <w:tc>
          <w:tcPr>
            <w:tcW w:w="740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6"/>
                <w:szCs w:val="16"/>
                <w:color w:val="auto"/>
              </w:rPr>
              <w:t>Increase (decrease) in Accounts Payable and Accrued Liabilities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(56,666)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9,993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(46,673)</w:t>
            </w:r>
          </w:p>
        </w:tc>
        <w:tc>
          <w:tcPr>
            <w:tcW w:w="0" w:type="dxa"/>
            <w:vAlign w:val="bottom"/>
          </w:tcPr>
          <w:p>
            <w:pPr>
              <w:spacing w:after="0"/>
              <w:rPr>
                <w:sz w:val="1"/>
                <w:szCs w:val="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23"/>
                <w:szCs w:val="23"/>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336,877</w:t>
            </w:r>
          </w:p>
        </w:tc>
        <w:tc>
          <w:tcPr>
            <w:tcW w:w="300" w:type="dxa"/>
            <w:vAlign w:val="bottom"/>
          </w:tcPr>
          <w:p>
            <w:pPr>
              <w:spacing w:after="0"/>
              <w:rPr>
                <w:sz w:val="23"/>
                <w:szCs w:val="23"/>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9,993</w:t>
            </w:r>
          </w:p>
        </w:tc>
        <w:tc>
          <w:tcPr>
            <w:tcW w:w="30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346,870</w:t>
            </w:r>
          </w:p>
        </w:tc>
        <w:tc>
          <w:tcPr>
            <w:tcW w:w="0" w:type="dxa"/>
            <w:vAlign w:val="bottom"/>
          </w:tcPr>
          <w:p>
            <w:pPr>
              <w:spacing w:after="0"/>
              <w:rPr>
                <w:sz w:val="1"/>
                <w:szCs w:val="1"/>
                <w:color w:val="auto"/>
              </w:rPr>
            </w:pPr>
          </w:p>
        </w:tc>
      </w:tr>
      <w:tr>
        <w:trPr>
          <w:trHeight w:val="513"/>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(162,441)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(9,993)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(172,434)</w:t>
            </w:r>
          </w:p>
        </w:tc>
        <w:tc>
          <w:tcPr>
            <w:tcW w:w="0" w:type="dxa"/>
            <w:vAlign w:val="bottom"/>
          </w:tcPr>
          <w:p>
            <w:pPr>
              <w:spacing w:after="0"/>
              <w:rPr>
                <w:sz w:val="1"/>
                <w:szCs w:val="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(84,265)</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(9,993)</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(94,258)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September 2015,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simplifies the accounting for measurement period adjustments for an acquirer in a business combination. The new guidance requires an acquirer to recognize any adjustments to the provisional purchase accounting in the reporting period the adjustment amounts are determined, by eliminating the requirement to retrospectively account for those adjustments. The guidance requires that the acquirer records, in the financial statements of the same period the adjustment is determined, the effect on earnings of changes in depreciation, amortization, or other income effects, if any, as a result of the change in the provisional amounts. The amount of the change is calculated as if the accounting has been completed at the acquisition date. The guidance is effective for interim and fiscal years beginning after December 15, 2015. Early adoption is permitted. The Company does not expect this guidance to have an impact on its Consolidated Financial Statements.</w:t>
      </w:r>
    </w:p>
    <w:p>
      <w:pPr>
        <w:spacing w:after="0" w:line="139"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In May 2014, the FASB issued 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4"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as an independent,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Cable ONE is now an independent public company trading on the New York Stock Exchange under the symbol “CABO”. After the spin, the Company does not beneficially own any shares of Cable ONE common stock.</w:t>
      </w:r>
    </w:p>
    <w:p>
      <w:pPr>
        <w:spacing w:after="0" w:line="138"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The results of operations of Cable ONE are included in the Company’s Condensed Consolidated Statements of Operations as Income from Discontinued Operations, Net of Tax, for all periods presented. The Company did not reclassify its Statements of Cash Flows or prior Condensed Consolidated Balance Sheets to reflect the various discontinued operations.</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order to implement the Spin-Off, the Company entered into certain agreements with Cable ONE to give effect to the legal and structural separation and to allocate various assets, liabilities and obligations between the Company and Cable ONE. In addition to executing the Spin-Off in the manner provided in the agreements, in June 2015, Cable ONE distributed $450 million in cash to the Company using the proceeds from their issuance of unsecured notes of $450 million in June 2015. Also, in connection with the spin-off, the Company modified the terms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9" w:name="page10"/>
    <w:bookmarkEnd w:id="9"/>
    <w:p>
      <w:pPr>
        <w:ind w:right="120"/>
        <w:spacing w:after="0" w:line="254" w:lineRule="auto"/>
        <w:rPr>
          <w:sz w:val="20"/>
          <w:szCs w:val="20"/>
          <w:color w:val="auto"/>
        </w:rPr>
      </w:pPr>
      <w:r>
        <w:rPr>
          <w:rFonts w:ascii="Arial" w:cs="Arial" w:eastAsia="Arial" w:hAnsi="Arial"/>
          <w:sz w:val="18"/>
          <w:szCs w:val="18"/>
          <w:color w:val="auto"/>
        </w:rPr>
        <w:t>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as discontinued operations in the Company’s condensed consolidated financial statements.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restricted stock awards resulted in an estimated incremental stock compensation expense of $3.0 million that will be recognized over the remaining service periods of the unvested restricted stock awards through the end of 2018. The modification of some of the stock options resulted in an incremental stock compensation expense of $23.5 million, of which $18.8 million related to fully vested stock options was recognized as a one-time expense in the third quarter of 2015, with the remaining $4.7 million to be recognized over the remaining service periods of the unvested stock options through the end of 2018. The $18.8 million expense is included in the Company's corporate office segment results and in selling, general and administrative in the Condensed Consolidated Statements of Operations.</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the spin-off, Cable ONE assumed the liability related to their employees participating in the Company’s SERP, and the Company eliminated the accrual of pension benefits for all Cable ONE employees related to their future service. As a result, the Company remeasured the accumulated and projected benefit obligation of the pension and SERP as of July 1, 2015. A pension curtailment gain of $2.2 million was recorded in the third quarter of 2015 in discontinued operations, net of tax.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divested the following assets and liabilities which net to $406.5 million, or $312.3 million net of cash retained by</w:t>
      </w:r>
    </w:p>
    <w:p>
      <w:pPr>
        <w:spacing w:after="0"/>
        <w:rPr>
          <w:sz w:val="20"/>
          <w:szCs w:val="20"/>
          <w:color w:val="auto"/>
        </w:rPr>
      </w:pPr>
      <w:r>
        <w:rPr>
          <w:rFonts w:ascii="Arial" w:cs="Arial" w:eastAsia="Arial" w:hAnsi="Arial"/>
          <w:sz w:val="18"/>
          <w:szCs w:val="18"/>
          <w:color w:val="auto"/>
        </w:rPr>
        <w:t>Cable ONE on the Distribution Date:</w:t>
      </w:r>
    </w:p>
    <w:p>
      <w:pPr>
        <w:sectPr>
          <w:pgSz w:w="11900" w:h="16838" w:orient="portrait"/>
          <w:cols w:equalWidth="0" w:num="1">
            <w:col w:w="11360"/>
          </w:cols>
          <w:pgMar w:left="240" w:top="59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assets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Indefinite-lived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Amortized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charges and other assets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borrowings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current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compensation and related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Liabilities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divested in the Spin-Off</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44"/>
        <w:spacing w:after="0"/>
        <w:rPr>
          <w:sz w:val="20"/>
          <w:szCs w:val="20"/>
          <w:color w:val="auto"/>
        </w:rPr>
      </w:pPr>
      <w:r>
        <w:rPr>
          <w:rFonts w:ascii="Arial" w:cs="Arial" w:eastAsia="Arial" w:hAnsi="Arial"/>
          <w:sz w:val="14"/>
          <w:szCs w:val="14"/>
          <w:b w:val="1"/>
          <w:bCs w:val="1"/>
          <w:color w:val="auto"/>
        </w:rPr>
        <w:t>As of</w:t>
      </w:r>
    </w:p>
    <w:p>
      <w:pPr>
        <w:spacing w:after="0" w:line="109" w:lineRule="exact"/>
        <w:rPr>
          <w:sz w:val="20"/>
          <w:szCs w:val="20"/>
          <w:color w:val="auto"/>
        </w:rPr>
      </w:pPr>
    </w:p>
    <w:p>
      <w:pPr>
        <w:jc w:val="center"/>
        <w:ind w:right="-44"/>
        <w:spacing w:after="0"/>
        <w:rPr>
          <w:sz w:val="20"/>
          <w:szCs w:val="20"/>
          <w:color w:val="auto"/>
        </w:rPr>
      </w:pPr>
      <w:r>
        <w:rPr>
          <w:rFonts w:ascii="Arial" w:cs="Arial" w:eastAsia="Arial" w:hAnsi="Arial"/>
          <w:sz w:val="14"/>
          <w:szCs w:val="14"/>
          <w:b w:val="1"/>
          <w:bCs w:val="1"/>
          <w:color w:val="auto"/>
        </w:rPr>
        <w:t>July 1, 2015</w:t>
      </w:r>
    </w:p>
    <w:p>
      <w:pPr>
        <w:spacing w:after="0" w:line="111" w:lineRule="exact"/>
        <w:rPr>
          <w:sz w:val="20"/>
          <w:szCs w:val="20"/>
          <w:color w:val="auto"/>
        </w:rPr>
      </w:pPr>
    </w:p>
    <w:p>
      <w:pPr>
        <w:ind w:left="845" w:hanging="845"/>
        <w:spacing w:after="0"/>
        <w:tabs>
          <w:tab w:leader="none" w:pos="845" w:val="left"/>
        </w:tabs>
        <w:numPr>
          <w:ilvl w:val="0"/>
          <w:numId w:val="5"/>
        </w:numPr>
        <w:rPr>
          <w:rFonts w:ascii="Arial" w:cs="Arial" w:eastAsia="Arial" w:hAnsi="Arial"/>
          <w:sz w:val="16"/>
          <w:szCs w:val="16"/>
          <w:color w:val="auto"/>
        </w:rPr>
      </w:pPr>
      <w:r>
        <w:rPr>
          <w:rFonts w:ascii="Arial" w:cs="Arial" w:eastAsia="Arial" w:hAnsi="Arial"/>
          <w:sz w:val="16"/>
          <w:szCs w:val="16"/>
          <w:color w:val="auto"/>
        </w:rPr>
        <w:t>94,115</w:t>
      </w:r>
    </w:p>
    <w:p>
      <w:pPr>
        <w:spacing w:after="0" w:line="86"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29,778</w:t>
      </w:r>
    </w:p>
    <w:p>
      <w:pPr>
        <w:spacing w:after="0" w:line="86"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14,182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19050</wp:posOffset>
            </wp:positionV>
            <wp:extent cx="1012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138,075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612,812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85,488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496,321</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510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625" w:hanging="625"/>
        <w:spacing w:after="0"/>
        <w:tabs>
          <w:tab w:leader="none" w:pos="62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1,355,747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43" w:lineRule="exact"/>
        <w:rPr>
          <w:sz w:val="20"/>
          <w:szCs w:val="20"/>
          <w:color w:val="auto"/>
        </w:rPr>
      </w:pPr>
    </w:p>
    <w:p>
      <w:pPr>
        <w:ind w:left="845" w:hanging="845"/>
        <w:spacing w:after="0"/>
        <w:tabs>
          <w:tab w:leader="none" w:pos="845" w:val="left"/>
        </w:tabs>
        <w:numPr>
          <w:ilvl w:val="0"/>
          <w:numId w:val="7"/>
        </w:numPr>
        <w:rPr>
          <w:rFonts w:ascii="Arial" w:cs="Arial" w:eastAsia="Arial" w:hAnsi="Arial"/>
          <w:sz w:val="16"/>
          <w:szCs w:val="16"/>
          <w:color w:val="auto"/>
        </w:rPr>
      </w:pPr>
      <w:r>
        <w:rPr>
          <w:rFonts w:ascii="Arial" w:cs="Arial" w:eastAsia="Arial" w:hAnsi="Arial"/>
          <w:sz w:val="16"/>
          <w:szCs w:val="16"/>
          <w:color w:val="auto"/>
        </w:rPr>
        <w:t>70,920</w:t>
      </w:r>
    </w:p>
    <w:p>
      <w:pPr>
        <w:spacing w:after="0" w:line="86"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2,962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21,883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19050</wp:posOffset>
            </wp:positionV>
            <wp:extent cx="1012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98,265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24,227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279,245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547,500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46" w:lineRule="exact"/>
        <w:rPr>
          <w:sz w:val="20"/>
          <w:szCs w:val="20"/>
          <w:color w:val="auto"/>
        </w:rPr>
      </w:pPr>
    </w:p>
    <w:p>
      <w:pPr>
        <w:ind w:left="745" w:hanging="745"/>
        <w:spacing w:after="0"/>
        <w:tabs>
          <w:tab w:leader="none" w:pos="74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949,294</w:t>
      </w:r>
    </w:p>
    <w:p>
      <w:pPr>
        <w:spacing w:after="0" w:line="329" w:lineRule="exact"/>
        <w:rPr>
          <w:rFonts w:ascii="Arial" w:cs="Arial" w:eastAsia="Arial" w:hAnsi="Arial"/>
          <w:sz w:val="16"/>
          <w:szCs w:val="16"/>
          <w:b w:val="1"/>
          <w:bCs w:val="1"/>
          <w:color w:val="auto"/>
        </w:rPr>
      </w:pPr>
    </w:p>
    <w:p>
      <w:pPr>
        <w:ind w:left="745" w:hanging="745"/>
        <w:spacing w:after="0"/>
        <w:tabs>
          <w:tab w:leader="none" w:pos="74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406,453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-130175</wp:posOffset>
            </wp:positionV>
            <wp:extent cx="934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-293370</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55" w:space="720"/>
            <w:col w:w="1385"/>
          </w:cols>
          <w:pgMar w:left="240" w:top="598" w:right="299" w:bottom="1440" w:gutter="0" w:footer="0" w:header="0"/>
          <w:type w:val="continuous"/>
        </w:sectPr>
      </w:pPr>
    </w:p>
    <w:p>
      <w:pPr>
        <w:spacing w:after="0" w:line="38"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333333"/>
        </w:rPr>
        <w:t xml:space="preserve">Cash flows from Cable ONE for the </w:t>
      </w:r>
      <w:r>
        <w:rPr>
          <w:rFonts w:ascii="Arial" w:cs="Arial" w:eastAsia="Arial" w:hAnsi="Arial"/>
          <w:sz w:val="18"/>
          <w:szCs w:val="18"/>
          <w:color w:val="000000"/>
        </w:rPr>
        <w:t>three and nine months ended September 30, 2015 and 2014 are combined with the cash flows from</w:t>
      </w:r>
      <w:r>
        <w:rPr>
          <w:rFonts w:ascii="Arial" w:cs="Arial" w:eastAsia="Arial" w:hAnsi="Arial"/>
          <w:sz w:val="18"/>
          <w:szCs w:val="18"/>
          <w:color w:val="333333"/>
        </w:rPr>
        <w:t xml:space="preserve"> </w:t>
      </w:r>
      <w:r>
        <w:rPr>
          <w:rFonts w:ascii="Arial" w:cs="Arial" w:eastAsia="Arial" w:hAnsi="Arial"/>
          <w:sz w:val="18"/>
          <w:szCs w:val="18"/>
          <w:color w:val="000000"/>
        </w:rPr>
        <w:t>operations within each of the categories presented. Cash flows from Cable ONE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1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50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(4,468)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59,863</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4"/>
              <w:spacing w:after="0"/>
              <w:rPr>
                <w:sz w:val="20"/>
                <w:szCs w:val="20"/>
                <w:color w:val="auto"/>
              </w:rPr>
            </w:pPr>
            <w:r>
              <w:rPr>
                <w:rFonts w:ascii="Arial" w:cs="Arial" w:eastAsia="Arial" w:hAnsi="Arial"/>
                <w:sz w:val="16"/>
                <w:szCs w:val="16"/>
                <w:b w:val="1"/>
                <w:bCs w:val="1"/>
                <w:color w:val="auto"/>
              </w:rPr>
              <w:t>111,665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187,153</w:t>
            </w:r>
          </w:p>
        </w:tc>
      </w:tr>
      <w:tr>
        <w:trPr>
          <w:trHeight w:val="270"/>
        </w:trPr>
        <w:tc>
          <w:tcPr>
            <w:tcW w:w="650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23"/>
                <w:szCs w:val="23"/>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51,283</w:t>
            </w:r>
          </w:p>
        </w:tc>
        <w:tc>
          <w:tcPr>
            <w:tcW w:w="36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rPr>
              <w:t>(74,416)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(35,705)</w:t>
            </w:r>
          </w:p>
        </w:tc>
      </w:tr>
    </w:tbl>
    <w:p>
      <w:pPr>
        <w:spacing w:after="0" w:line="200" w:lineRule="exact"/>
        <w:rPr>
          <w:sz w:val="20"/>
          <w:szCs w:val="20"/>
          <w:color w:val="auto"/>
        </w:rPr>
      </w:pPr>
    </w:p>
    <w:p>
      <w:pPr>
        <w:sectPr>
          <w:pgSz w:w="11900" w:h="16838" w:orient="portrait"/>
          <w:cols w:equalWidth="0" w:num="1">
            <w:col w:w="11360"/>
          </w:cols>
          <w:pgMar w:left="240" w:top="598" w:right="299" w:bottom="1440" w:gutter="0" w:footer="0" w:header="0"/>
          <w:type w:val="continuous"/>
        </w:sect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598" w:right="299" w:bottom="1440" w:gutter="0" w:footer="0" w:header="0"/>
          <w:type w:val="continuous"/>
        </w:sectPr>
      </w:pPr>
    </w:p>
    <w:bookmarkStart w:id="10" w:name="page11"/>
    <w:bookmarkEnd w:id="10"/>
    <w:p>
      <w:pPr>
        <w:ind w:right="220"/>
        <w:spacing w:after="0" w:line="282"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and financing and related costs of $7.4 million and $3.5 million in 2015 and 2014,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are included in discontinued operations, net of tax.</w:t>
      </w:r>
    </w:p>
    <w:p>
      <w:pPr>
        <w:spacing w:after="0" w:line="1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that resulted in a pre-tax loss of $4.4 million. An additional school in China was sold by Kaplan in January of 2015 that resulted in a pre-tax loss of $0.7 million.</w:t>
      </w:r>
    </w:p>
    <w:p>
      <w:pPr>
        <w:spacing w:after="0" w:line="13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June 30, 2014, the Company and Berkshire Hathaway Inc. completed a transaction, as described in Note 4, in which Berkshire acquired a wholly-owned subsidiary of the Company that included, among other things, WPLG, a Miami-based television station; a $375.0 million gain from the WPLG sale was recorded in the second quarter of 2014.</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results of operations of the schools in China and WPLG are included in the Company’s Condensed Consolidated Statements of Operations as Income (Loss) from Discontinued Operations, Net of Tax, for all periods presented. The Company did not reclassify its Statements of Cash Flows or prior Condensed Consolidated Balance Sheets to reflect the various discontinued operations.In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r>
    </w:tbl>
    <w:p>
      <w:pPr>
        <w:spacing w:after="0" w:line="36"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costs and expenses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Non-operating income (expense)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from Discontinued Operations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sales of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Expense (benefit) from income taxes on sales of discontinued operations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196,960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397,404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647,128</w:t>
            </w:r>
          </w:p>
        </w:tc>
      </w:tr>
      <w:tr>
        <w:trPr>
          <w:trHeight w:val="283"/>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1,662</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(157,819)</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(325,379)</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(511,981)</w:t>
            </w:r>
          </w:p>
        </w:tc>
      </w:tr>
      <w:tr>
        <w:trPr>
          <w:trHeight w:val="251"/>
        </w:trPr>
        <w:tc>
          <w:tcPr>
            <w:tcW w:w="4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1,662</w:t>
            </w:r>
          </w:p>
        </w:tc>
        <w:tc>
          <w:tcPr>
            <w:tcW w:w="4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39,141</w:t>
            </w:r>
          </w:p>
        </w:tc>
        <w:tc>
          <w:tcPr>
            <w:tcW w:w="3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72,025</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135,147</w:t>
            </w:r>
          </w:p>
        </w:tc>
      </w:tr>
      <w:tr>
        <w:trPr>
          <w:trHeight w:val="283"/>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75,217</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(1,288)</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75,153</w:t>
            </w:r>
          </w:p>
        </w:tc>
      </w:tr>
      <w:tr>
        <w:trPr>
          <w:trHeight w:val="251"/>
        </w:trPr>
        <w:tc>
          <w:tcPr>
            <w:tcW w:w="4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1,662</w:t>
            </w:r>
          </w:p>
        </w:tc>
        <w:tc>
          <w:tcPr>
            <w:tcW w:w="4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114,358</w:t>
            </w:r>
          </w:p>
        </w:tc>
        <w:tc>
          <w:tcPr>
            <w:tcW w:w="3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70,737</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210,300</w:t>
            </w:r>
          </w:p>
        </w:tc>
      </w:tr>
      <w:tr>
        <w:trPr>
          <w:trHeight w:val="283"/>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1,283</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42,331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27,783</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77,271</w:t>
            </w:r>
          </w:p>
        </w:tc>
      </w:tr>
      <w:tr>
        <w:trPr>
          <w:trHeight w:val="251"/>
        </w:trPr>
        <w:tc>
          <w:tcPr>
            <w:tcW w:w="44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379</w:t>
            </w:r>
          </w:p>
        </w:tc>
        <w:tc>
          <w:tcPr>
            <w:tcW w:w="40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72,027</w:t>
            </w:r>
          </w:p>
        </w:tc>
        <w:tc>
          <w:tcPr>
            <w:tcW w:w="3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42,954</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133,029</w:t>
            </w:r>
          </w:p>
        </w:tc>
      </w:tr>
      <w:tr>
        <w:trPr>
          <w:trHeight w:val="270"/>
        </w:trPr>
        <w:tc>
          <w:tcPr>
            <w:tcW w:w="44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(4,352)</w:t>
            </w: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(732)</w:t>
            </w:r>
          </w:p>
        </w:tc>
        <w:tc>
          <w:tcPr>
            <w:tcW w:w="3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349,875</w:t>
            </w:r>
          </w:p>
        </w:tc>
      </w:tr>
      <w:tr>
        <w:trPr>
          <w:trHeight w:val="283"/>
        </w:trPr>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1,466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(16,304)</w:t>
            </w:r>
          </w:p>
        </w:tc>
      </w:tr>
      <w:tr>
        <w:trPr>
          <w:trHeight w:val="264"/>
        </w:trPr>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379</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66,209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42,170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499,208</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40" w:space="720"/>
            <w:col w:w="5360"/>
          </w:cols>
          <w:pgMar w:left="240" w:top="580" w:right="2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11" w:name="page12"/>
    <w:bookmarkEnd w:id="11"/>
    <w:p>
      <w:pPr>
        <w:ind w:right="160"/>
        <w:spacing w:after="0" w:line="235" w:lineRule="auto"/>
        <w:rPr>
          <w:sz w:val="20"/>
          <w:szCs w:val="20"/>
          <w:color w:val="auto"/>
        </w:rPr>
      </w:pPr>
      <w:r>
        <w:rPr>
          <w:rFonts w:ascii="Arial" w:cs="Arial" w:eastAsia="Arial" w:hAnsi="Arial"/>
          <w:sz w:val="18"/>
          <w:szCs w:val="18"/>
          <w:color w:val="auto"/>
        </w:rPr>
        <w:t>The following table summarizes the 2015 quarterly operating results of the Company following the reclassification of the operations discussed above as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02"/>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Arial" w:cs="Arial" w:eastAsia="Arial" w:hAnsi="Arial"/>
                <w:sz w:val="14"/>
                <w:szCs w:val="14"/>
                <w:color w:val="auto"/>
              </w:rPr>
              <w:t>June 30,</w:t>
            </w:r>
          </w:p>
        </w:tc>
      </w:tr>
      <w:tr>
        <w:trPr>
          <w:trHeight w:val="27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500,602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523,625</w:t>
            </w: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66,454</w:t>
            </w:r>
          </w:p>
        </w:tc>
        <w:tc>
          <w:tcPr>
            <w:tcW w:w="360" w:type="dxa"/>
            <w:vAlign w:val="bottom"/>
          </w:tcPr>
          <w:p>
            <w:pPr>
              <w:spacing w:after="0"/>
              <w:rPr>
                <w:sz w:val="23"/>
                <w:szCs w:val="23"/>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70,137</w:t>
            </w: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80,369</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87,128</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647,425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680,890</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75" w:lineRule="exact"/>
        <w:rPr>
          <w:sz w:val="20"/>
          <w:szCs w:val="20"/>
          <w:color w:val="auto"/>
        </w:rPr>
      </w:pPr>
    </w:p>
    <w:p>
      <w:pPr>
        <w:sectPr>
          <w:pgSz w:w="11900" w:h="16838" w:orient="portrait"/>
          <w:cols w:equalWidth="0" w:num="1">
            <w:col w:w="11420"/>
          </w:cols>
          <w:pgMar w:left="240" w:top="584" w:right="23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long-lived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losses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income, net</w:t>
      </w:r>
    </w:p>
    <w:p>
      <w:pPr>
        <w:spacing w:after="0" w:line="80" w:lineRule="exact"/>
        <w:rPr>
          <w:sz w:val="20"/>
          <w:szCs w:val="20"/>
          <w:color w:val="auto"/>
        </w:rPr>
      </w:pPr>
    </w:p>
    <w:p>
      <w:pPr>
        <w:ind w:left="40" w:right="2900"/>
        <w:spacing w:after="0" w:line="361" w:lineRule="auto"/>
        <w:rPr>
          <w:sz w:val="20"/>
          <w:szCs w:val="20"/>
          <w:color w:val="auto"/>
        </w:rPr>
      </w:pPr>
      <w:r>
        <w:rPr>
          <w:rFonts w:ascii="Arial" w:cs="Arial" w:eastAsia="Arial" w:hAnsi="Arial"/>
          <w:sz w:val="16"/>
          <w:szCs w:val="16"/>
          <w:b w:val="1"/>
          <w:bCs w:val="1"/>
          <w:color w:val="auto"/>
        </w:rPr>
        <w:t>(Loss) Income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(Loss)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Redeemable Preferred Stock Dividends</w:t>
      </w:r>
    </w:p>
    <w:p>
      <w:pPr>
        <w:spacing w:after="0" w:line="113" w:lineRule="exact"/>
        <w:rPr>
          <w:sz w:val="20"/>
          <w:szCs w:val="20"/>
          <w:color w:val="auto"/>
        </w:rPr>
      </w:pPr>
    </w:p>
    <w:p>
      <w:pPr>
        <w:ind w:left="40" w:right="1820"/>
        <w:spacing w:after="0" w:line="382" w:lineRule="auto"/>
        <w:rPr>
          <w:sz w:val="20"/>
          <w:szCs w:val="20"/>
          <w:color w:val="auto"/>
        </w:rPr>
      </w:pPr>
      <w:r>
        <w:rPr>
          <w:rFonts w:ascii="Arial" w:cs="Arial" w:eastAsia="Arial" w:hAnsi="Arial"/>
          <w:sz w:val="16"/>
          <w:szCs w:val="16"/>
          <w:b w:val="1"/>
          <w:bCs w:val="1"/>
          <w:color w:val="auto"/>
        </w:rPr>
        <w:t>Net Income Attributable to Graham Holdings Company Common Stockholders Amounts Attributable to Graham Holdings Company Common Stockholders</w:t>
      </w:r>
    </w:p>
    <w:p>
      <w:pPr>
        <w:spacing w:after="0" w:line="20" w:lineRule="exact"/>
        <w:rPr>
          <w:sz w:val="20"/>
          <w:szCs w:val="20"/>
          <w:color w:val="auto"/>
        </w:rPr>
      </w:pPr>
      <w:r>
        <w:rPr>
          <w:sz w:val="20"/>
          <w:szCs w:val="20"/>
          <w:color w:val="auto"/>
        </w:rPr>
        <w:br w:type="column"/>
      </w:r>
    </w:p>
    <w:p>
      <w:pPr>
        <w:ind w:left="660"/>
        <w:spacing w:after="0"/>
        <w:tabs>
          <w:tab w:leader="none" w:pos="2100" w:val="left"/>
        </w:tabs>
        <w:rPr>
          <w:sz w:val="20"/>
          <w:szCs w:val="20"/>
          <w:color w:val="auto"/>
        </w:rPr>
      </w:pPr>
      <w:r>
        <w:rPr>
          <w:rFonts w:ascii="Arial" w:cs="Arial" w:eastAsia="Arial" w:hAnsi="Arial"/>
          <w:sz w:val="16"/>
          <w:szCs w:val="16"/>
          <w:color w:val="auto"/>
        </w:rPr>
        <w:t>309,223</w:t>
      </w:r>
      <w:r>
        <w:rPr>
          <w:sz w:val="20"/>
          <w:szCs w:val="20"/>
          <w:color w:val="auto"/>
        </w:rPr>
        <w:tab/>
      </w:r>
      <w:r>
        <w:rPr>
          <w:rFonts w:ascii="Arial" w:cs="Arial" w:eastAsia="Arial" w:hAnsi="Arial"/>
          <w:sz w:val="16"/>
          <w:szCs w:val="16"/>
          <w:color w:val="auto"/>
        </w:rPr>
        <w:t>311,121</w:t>
      </w:r>
    </w:p>
    <w:p>
      <w:pPr>
        <w:spacing w:after="0" w:line="8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6"/>
          <w:szCs w:val="16"/>
          <w:color w:val="auto"/>
        </w:rPr>
        <w:t>302,405</w:t>
      </w:r>
      <w:r>
        <w:rPr>
          <w:sz w:val="20"/>
          <w:szCs w:val="20"/>
          <w:color w:val="auto"/>
        </w:rPr>
        <w:tab/>
      </w:r>
      <w:r>
        <w:rPr>
          <w:rFonts w:ascii="Arial" w:cs="Arial" w:eastAsia="Arial" w:hAnsi="Arial"/>
          <w:sz w:val="16"/>
          <w:szCs w:val="16"/>
          <w:color w:val="auto"/>
        </w:rPr>
        <w:t>276,412</w:t>
      </w:r>
    </w:p>
    <w:p>
      <w:pPr>
        <w:spacing w:after="0" w:line="86" w:lineRule="exact"/>
        <w:rPr>
          <w:sz w:val="20"/>
          <w:szCs w:val="20"/>
          <w:color w:val="auto"/>
        </w:rPr>
      </w:pPr>
    </w:p>
    <w:p>
      <w:pPr>
        <w:ind w:left="740"/>
        <w:spacing w:after="0"/>
        <w:tabs>
          <w:tab w:leader="none" w:pos="2200" w:val="left"/>
        </w:tabs>
        <w:rPr>
          <w:sz w:val="20"/>
          <w:szCs w:val="20"/>
          <w:color w:val="auto"/>
        </w:rPr>
      </w:pPr>
      <w:r>
        <w:rPr>
          <w:rFonts w:ascii="Arial" w:cs="Arial" w:eastAsia="Arial" w:hAnsi="Arial"/>
          <w:sz w:val="16"/>
          <w:szCs w:val="16"/>
          <w:color w:val="auto"/>
        </w:rPr>
        <w:t>22,197</w:t>
      </w:r>
      <w:r>
        <w:rPr>
          <w:sz w:val="20"/>
          <w:szCs w:val="20"/>
          <w:color w:val="auto"/>
        </w:rPr>
        <w:tab/>
      </w:r>
      <w:r>
        <w:rPr>
          <w:rFonts w:ascii="Arial" w:cs="Arial" w:eastAsia="Arial" w:hAnsi="Arial"/>
          <w:sz w:val="16"/>
          <w:szCs w:val="16"/>
          <w:color w:val="auto"/>
        </w:rPr>
        <w:t>25,609</w:t>
      </w:r>
    </w:p>
    <w:p>
      <w:pPr>
        <w:spacing w:after="0" w:line="86" w:lineRule="exact"/>
        <w:rPr>
          <w:sz w:val="20"/>
          <w:szCs w:val="20"/>
          <w:color w:val="auto"/>
        </w:rPr>
      </w:pPr>
    </w:p>
    <w:p>
      <w:pPr>
        <w:ind w:left="840"/>
        <w:spacing w:after="0"/>
        <w:tabs>
          <w:tab w:leader="none" w:pos="2280" w:val="left"/>
        </w:tabs>
        <w:rPr>
          <w:sz w:val="20"/>
          <w:szCs w:val="20"/>
          <w:color w:val="auto"/>
        </w:rPr>
      </w:pPr>
      <w:r>
        <w:rPr>
          <w:rFonts w:ascii="Arial" w:cs="Arial" w:eastAsia="Arial" w:hAnsi="Arial"/>
          <w:sz w:val="16"/>
          <w:szCs w:val="16"/>
          <w:color w:val="auto"/>
        </w:rPr>
        <w:t>4,738</w:t>
      </w:r>
      <w:r>
        <w:rPr>
          <w:sz w:val="20"/>
          <w:szCs w:val="20"/>
          <w:color w:val="auto"/>
        </w:rPr>
        <w:tab/>
      </w:r>
      <w:r>
        <w:rPr>
          <w:rFonts w:ascii="Arial" w:cs="Arial" w:eastAsia="Arial" w:hAnsi="Arial"/>
          <w:sz w:val="16"/>
          <w:szCs w:val="16"/>
          <w:color w:val="auto"/>
        </w:rPr>
        <w:t>4,647</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—6,876</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638,563624,665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-160020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840"/>
        <w:spacing w:after="0"/>
        <w:tabs>
          <w:tab w:leader="none" w:pos="2200" w:val="left"/>
        </w:tabs>
        <w:rPr>
          <w:sz w:val="20"/>
          <w:szCs w:val="20"/>
          <w:color w:val="auto"/>
        </w:rPr>
      </w:pPr>
      <w:r>
        <w:rPr>
          <w:rFonts w:ascii="Arial" w:cs="Arial" w:eastAsia="Arial" w:hAnsi="Arial"/>
          <w:sz w:val="16"/>
          <w:szCs w:val="16"/>
          <w:color w:val="auto"/>
        </w:rPr>
        <w:t>8,862</w:t>
      </w:r>
      <w:r>
        <w:rPr>
          <w:sz w:val="20"/>
          <w:szCs w:val="20"/>
          <w:color w:val="auto"/>
        </w:rPr>
        <w:tab/>
      </w:r>
      <w:r>
        <w:rPr>
          <w:rFonts w:ascii="Arial" w:cs="Arial" w:eastAsia="Arial" w:hAnsi="Arial"/>
          <w:sz w:val="16"/>
          <w:szCs w:val="16"/>
          <w:color w:val="auto"/>
        </w:rPr>
        <w:t>56,225</w:t>
      </w:r>
    </w:p>
    <w:p>
      <w:pPr>
        <w:spacing w:after="0" w:line="86" w:lineRule="exact"/>
        <w:rPr>
          <w:sz w:val="20"/>
          <w:szCs w:val="20"/>
          <w:color w:val="auto"/>
        </w:rPr>
      </w:pPr>
    </w:p>
    <w:p>
      <w:pPr>
        <w:ind w:left="2380" w:hanging="1464"/>
        <w:spacing w:after="0"/>
        <w:tabs>
          <w:tab w:leader="none" w:pos="2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(353)</w:t>
      </w:r>
    </w:p>
    <w:p>
      <w:pPr>
        <w:spacing w:after="0" w:line="86" w:lineRule="exact"/>
        <w:rPr>
          <w:sz w:val="20"/>
          <w:szCs w:val="20"/>
          <w:color w:val="auto"/>
        </w:rPr>
      </w:pPr>
    </w:p>
    <w:p>
      <w:pPr>
        <w:ind w:left="2440" w:hanging="1470"/>
        <w:spacing w:after="0"/>
        <w:tabs>
          <w:tab w:leader="none" w:pos="2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323</w:t>
      </w:r>
    </w:p>
    <w:p>
      <w:pPr>
        <w:spacing w:after="0" w:line="86"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6"/>
          <w:szCs w:val="16"/>
          <w:color w:val="auto"/>
        </w:rPr>
        <w:t>(8,501)</w:t>
      </w:r>
      <w:r>
        <w:rPr>
          <w:rFonts w:ascii="Arial" w:cs="Arial" w:eastAsia="Arial" w:hAnsi="Arial"/>
          <w:sz w:val="15"/>
          <w:szCs w:val="15"/>
          <w:color w:val="auto"/>
        </w:rPr>
        <w:t>(8,348)</w:t>
      </w:r>
    </w:p>
    <w:p>
      <w:pPr>
        <w:spacing w:after="0" w:line="86"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6"/>
          <w:szCs w:val="16"/>
          <w:color w:val="auto"/>
        </w:rPr>
        <w:t>(1,105)</w:t>
      </w:r>
      <w:r>
        <w:rPr>
          <w:sz w:val="20"/>
          <w:szCs w:val="20"/>
          <w:color w:val="auto"/>
        </w:rPr>
        <w:tab/>
      </w:r>
      <w:r>
        <w:rPr>
          <w:rFonts w:ascii="Arial" w:cs="Arial" w:eastAsia="Arial" w:hAnsi="Arial"/>
          <w:sz w:val="16"/>
          <w:szCs w:val="16"/>
          <w:color w:val="auto"/>
        </w:rPr>
        <w:t>11,678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2220" w:hanging="1304"/>
        <w:spacing w:after="0"/>
        <w:tabs>
          <w:tab w:leader="none" w:pos="2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59,525</w:t>
      </w:r>
    </w:p>
    <w:p>
      <w:pPr>
        <w:spacing w:after="0" w:line="8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90019,600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6"/>
          <w:szCs w:val="16"/>
          <w:color w:val="auto"/>
        </w:rPr>
        <w:t>(1,489)</w:t>
      </w:r>
      <w:r>
        <w:rPr>
          <w:sz w:val="20"/>
          <w:szCs w:val="20"/>
          <w:color w:val="auto"/>
        </w:rPr>
        <w:tab/>
      </w:r>
      <w:r>
        <w:rPr>
          <w:rFonts w:ascii="Arial" w:cs="Arial" w:eastAsia="Arial" w:hAnsi="Arial"/>
          <w:sz w:val="16"/>
          <w:szCs w:val="16"/>
          <w:color w:val="auto"/>
        </w:rPr>
        <w:t>39,925</w:t>
      </w:r>
    </w:p>
    <w:p>
      <w:pPr>
        <w:spacing w:after="0" w:line="86" w:lineRule="exact"/>
        <w:rPr>
          <w:sz w:val="20"/>
          <w:szCs w:val="20"/>
          <w:color w:val="auto"/>
        </w:rPr>
      </w:pPr>
    </w:p>
    <w:p>
      <w:pPr>
        <w:ind w:left="740"/>
        <w:spacing w:after="0"/>
        <w:tabs>
          <w:tab w:leader="none" w:pos="2200" w:val="left"/>
        </w:tabs>
        <w:rPr>
          <w:sz w:val="20"/>
          <w:szCs w:val="20"/>
          <w:color w:val="auto"/>
        </w:rPr>
      </w:pPr>
      <w:r>
        <w:rPr>
          <w:rFonts w:ascii="Arial" w:cs="Arial" w:eastAsia="Arial" w:hAnsi="Arial"/>
          <w:sz w:val="16"/>
          <w:szCs w:val="16"/>
          <w:color w:val="auto"/>
        </w:rPr>
        <w:t>23,289</w:t>
      </w:r>
      <w:r>
        <w:rPr>
          <w:sz w:val="20"/>
          <w:szCs w:val="20"/>
          <w:color w:val="auto"/>
        </w:rPr>
        <w:tab/>
      </w:r>
      <w:r>
        <w:rPr>
          <w:rFonts w:ascii="Arial" w:cs="Arial" w:eastAsia="Arial" w:hAnsi="Arial"/>
          <w:sz w:val="16"/>
          <w:szCs w:val="16"/>
          <w:color w:val="auto"/>
        </w:rPr>
        <w:t>18,502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740"/>
        <w:spacing w:after="0"/>
        <w:tabs>
          <w:tab w:leader="none" w:pos="2200" w:val="left"/>
        </w:tabs>
        <w:rPr>
          <w:sz w:val="20"/>
          <w:szCs w:val="20"/>
          <w:color w:val="auto"/>
        </w:rPr>
      </w:pPr>
      <w:r>
        <w:rPr>
          <w:rFonts w:ascii="Arial" w:cs="Arial" w:eastAsia="Arial" w:hAnsi="Arial"/>
          <w:sz w:val="16"/>
          <w:szCs w:val="16"/>
          <w:color w:val="auto"/>
        </w:rPr>
        <w:t>21,800</w:t>
      </w:r>
      <w:r>
        <w:rPr>
          <w:sz w:val="20"/>
          <w:szCs w:val="20"/>
          <w:color w:val="auto"/>
        </w:rPr>
        <w:tab/>
      </w:r>
      <w:r>
        <w:rPr>
          <w:rFonts w:ascii="Arial" w:cs="Arial" w:eastAsia="Arial" w:hAnsi="Arial"/>
          <w:sz w:val="16"/>
          <w:szCs w:val="16"/>
          <w:color w:val="auto"/>
        </w:rPr>
        <w:t>58,427</w:t>
      </w:r>
    </w:p>
    <w:p>
      <w:pPr>
        <w:spacing w:after="0" w:line="86" w:lineRule="exact"/>
        <w:rPr>
          <w:sz w:val="20"/>
          <w:szCs w:val="20"/>
          <w:color w:val="auto"/>
        </w:rPr>
      </w:pPr>
    </w:p>
    <w:p>
      <w:pPr>
        <w:ind w:left="2380" w:hanging="1464"/>
        <w:spacing w:after="0"/>
        <w:tabs>
          <w:tab w:leader="none" w:pos="2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740"/>
        <w:spacing w:after="0"/>
        <w:tabs>
          <w:tab w:leader="none" w:pos="2200" w:val="left"/>
        </w:tabs>
        <w:rPr>
          <w:sz w:val="20"/>
          <w:szCs w:val="20"/>
          <w:color w:val="auto"/>
        </w:rPr>
      </w:pPr>
      <w:r>
        <w:rPr>
          <w:rFonts w:ascii="Arial" w:cs="Arial" w:eastAsia="Arial" w:hAnsi="Arial"/>
          <w:sz w:val="16"/>
          <w:szCs w:val="16"/>
          <w:color w:val="auto"/>
        </w:rPr>
        <w:t>21,026</w:t>
      </w:r>
      <w:r>
        <w:rPr>
          <w:sz w:val="20"/>
          <w:szCs w:val="20"/>
          <w:color w:val="auto"/>
        </w:rPr>
        <w:tab/>
      </w:r>
      <w:r>
        <w:rPr>
          <w:rFonts w:ascii="Arial" w:cs="Arial" w:eastAsia="Arial" w:hAnsi="Arial"/>
          <w:sz w:val="16"/>
          <w:szCs w:val="16"/>
          <w:color w:val="auto"/>
        </w:rPr>
        <w:t>57,993</w:t>
      </w:r>
    </w:p>
    <w:p>
      <w:pPr>
        <w:spacing w:after="0" w:line="86" w:lineRule="exact"/>
        <w:rPr>
          <w:sz w:val="20"/>
          <w:szCs w:val="20"/>
          <w:color w:val="auto"/>
        </w:rPr>
      </w:pPr>
    </w:p>
    <w:p>
      <w:pPr>
        <w:ind w:left="2380" w:hanging="1464"/>
        <w:spacing w:after="0"/>
        <w:tabs>
          <w:tab w:leader="none" w:pos="2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spacing w:after="0"/>
        <w:tabs>
          <w:tab w:leader="none" w:pos="720" w:val="left"/>
          <w:tab w:leader="none" w:pos="1460" w:val="left"/>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20,606</w:t>
        <w:tab/>
        <w:t>$</w:t>
      </w:r>
      <w:r>
        <w:rPr>
          <w:sz w:val="20"/>
          <w:szCs w:val="20"/>
          <w:color w:val="auto"/>
        </w:rPr>
        <w:tab/>
      </w:r>
      <w:r>
        <w:rPr>
          <w:rFonts w:ascii="Arial" w:cs="Arial" w:eastAsia="Arial" w:hAnsi="Arial"/>
          <w:sz w:val="16"/>
          <w:szCs w:val="16"/>
          <w:color w:val="auto"/>
        </w:rPr>
        <w:t>57,782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36195</wp:posOffset>
            </wp:positionV>
            <wp:extent cx="1809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7880" w:space="720"/>
            <w:col w:w="2820"/>
          </w:cols>
          <w:pgMar w:left="240" w:top="584" w:right="2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(Loss) income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280" w:right="2820"/>
        <w:spacing w:after="0" w:line="366" w:lineRule="auto"/>
        <w:rPr>
          <w:sz w:val="20"/>
          <w:szCs w:val="20"/>
          <w:color w:val="auto"/>
        </w:rPr>
      </w:pPr>
      <w:r>
        <w:rPr>
          <w:rFonts w:ascii="Arial" w:cs="Arial" w:eastAsia="Arial" w:hAnsi="Arial"/>
          <w:sz w:val="16"/>
          <w:szCs w:val="16"/>
          <w:color w:val="auto"/>
        </w:rPr>
        <w:t>Basic (loss) income per common share from continuing operations Basic income per common share from discontinued operations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net income per common share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(loss) income per common share from continuing operations</w:t>
      </w:r>
    </w:p>
    <w:p>
      <w:pPr>
        <w:spacing w:after="0" w:line="86" w:lineRule="exact"/>
        <w:rPr>
          <w:sz w:val="20"/>
          <w:szCs w:val="20"/>
          <w:color w:val="auto"/>
        </w:rPr>
      </w:pPr>
    </w:p>
    <w:p>
      <w:pPr>
        <w:ind w:left="280" w:right="2980"/>
        <w:spacing w:after="0" w:line="401" w:lineRule="auto"/>
        <w:rPr>
          <w:sz w:val="20"/>
          <w:szCs w:val="20"/>
          <w:color w:val="auto"/>
        </w:rPr>
      </w:pPr>
      <w:r>
        <w:rPr>
          <w:rFonts w:ascii="Arial" w:cs="Arial" w:eastAsia="Arial" w:hAnsi="Arial"/>
          <w:sz w:val="16"/>
          <w:szCs w:val="16"/>
          <w:color w:val="auto"/>
        </w:rPr>
        <w:t>Diluted income per common share from discontinued operations Diluted net income per common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(2,683)</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39,280</w:t>
            </w:r>
          </w:p>
        </w:tc>
      </w:tr>
      <w:tr>
        <w:trPr>
          <w:trHeight w:val="283"/>
        </w:trPr>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23,289</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18,502</w:t>
            </w:r>
          </w:p>
        </w:tc>
      </w:tr>
      <w:tr>
        <w:trPr>
          <w:trHeight w:val="264"/>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20,606</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57,782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08"/>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6.74</w:t>
            </w:r>
          </w:p>
        </w:tc>
      </w:tr>
      <w:tr>
        <w:trPr>
          <w:trHeight w:val="283"/>
        </w:trPr>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4.09</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r>
      <w:tr>
        <w:trPr>
          <w:trHeight w:val="264"/>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3.51</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8"/>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6.71</w:t>
            </w:r>
          </w:p>
        </w:tc>
      </w:tr>
      <w:tr>
        <w:trPr>
          <w:trHeight w:val="283"/>
        </w:trPr>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4.06</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r>
      <w:tr>
        <w:trPr>
          <w:trHeight w:val="264"/>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3.48</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ectPr>
          <w:pgSz w:w="11900" w:h="16838" w:orient="portrait"/>
          <w:cols w:equalWidth="0" w:num="2">
            <w:col w:w="7860" w:space="720"/>
            <w:col w:w="2840"/>
          </w:cols>
          <w:pgMar w:left="240" w:top="584" w:right="2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right="160"/>
        <w:spacing w:after="0" w:line="235" w:lineRule="auto"/>
        <w:rPr>
          <w:sz w:val="20"/>
          <w:szCs w:val="20"/>
          <w:color w:val="auto"/>
        </w:rPr>
      </w:pPr>
      <w:r>
        <w:rPr>
          <w:rFonts w:ascii="Arial" w:cs="Arial" w:eastAsia="Arial" w:hAnsi="Arial"/>
          <w:sz w:val="18"/>
          <w:szCs w:val="18"/>
          <w:color w:val="auto"/>
        </w:rPr>
        <w:t>The following table summarizes the 2014 quarterly operating results of the Company following the reclassification of the operations discussed above as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40"/>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1240" w:type="dxa"/>
            <w:vAlign w:val="bottom"/>
          </w:tcPr>
          <w:p>
            <w:pPr>
              <w:jc w:val="right"/>
              <w:ind w:right="1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27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522,154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542,964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543,918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551,381</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70,115</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73,587</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72,951</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91,561</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40,351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57,031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86,336</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84,683</w:t>
            </w:r>
          </w:p>
        </w:tc>
      </w:tr>
      <w:tr>
        <w:trPr>
          <w:trHeight w:val="264"/>
        </w:trPr>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632,620</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673,582</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703,205</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727,625</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296,507</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321,163</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326,395</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317,687</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276,294</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276,502</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309,583</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269,779</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19,430</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18,201</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18,664</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18,618</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2,682</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2,936</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7,354</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5,215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Impairment of intangible and other long-lived assets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17,302</w:t>
            </w:r>
          </w:p>
        </w:tc>
      </w:tr>
      <w:tr>
        <w:trPr>
          <w:trHeight w:val="264"/>
        </w:trPr>
        <w:tc>
          <w:tcPr>
            <w:tcW w:w="5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594,913</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618,802</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661,996</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628,601</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4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37,707</w:t>
            </w:r>
          </w:p>
        </w:tc>
        <w:tc>
          <w:tcPr>
            <w:tcW w:w="34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54,780</w:t>
            </w:r>
          </w:p>
        </w:tc>
        <w:tc>
          <w:tcPr>
            <w:tcW w:w="22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41,209</w:t>
            </w:r>
          </w:p>
        </w:tc>
        <w:tc>
          <w:tcPr>
            <w:tcW w:w="2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99,024</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4,052</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91,503</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4,613</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202</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599</w:t>
            </w:r>
          </w:p>
        </w:tc>
        <w:tc>
          <w:tcPr>
            <w:tcW w:w="34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641</w:t>
            </w:r>
          </w:p>
        </w:tc>
        <w:tc>
          <w:tcPr>
            <w:tcW w:w="22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529</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367</w:t>
            </w: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(8,788)</w:t>
            </w:r>
          </w:p>
        </w:tc>
        <w:tc>
          <w:tcPr>
            <w:tcW w:w="34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(8,525)</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(9,298)</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(8,922)</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133,273</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268,114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387,346</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166,843</w:t>
            </w:r>
          </w:p>
        </w:tc>
        <w:tc>
          <w:tcPr>
            <w:tcW w:w="34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406,513</w:t>
            </w:r>
          </w:p>
        </w:tc>
        <w:tc>
          <w:tcPr>
            <w:tcW w:w="22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26,330</w:t>
            </w:r>
          </w:p>
        </w:tc>
        <w:tc>
          <w:tcPr>
            <w:tcW w:w="2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478,017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62,300</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61,900</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16,100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172,000</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104,543</w:t>
            </w:r>
          </w:p>
        </w:tc>
        <w:tc>
          <w:tcPr>
            <w:tcW w:w="34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344,613</w:t>
            </w:r>
          </w:p>
        </w:tc>
        <w:tc>
          <w:tcPr>
            <w:tcW w:w="22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10,230</w:t>
            </w:r>
          </w:p>
        </w:tc>
        <w:tc>
          <w:tcPr>
            <w:tcW w:w="2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306,017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27,762</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405,237</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66,209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28,649</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132,305</w:t>
            </w:r>
          </w:p>
        </w:tc>
        <w:tc>
          <w:tcPr>
            <w:tcW w:w="34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749,850</w:t>
            </w:r>
          </w:p>
        </w:tc>
        <w:tc>
          <w:tcPr>
            <w:tcW w:w="22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76,439</w:t>
            </w:r>
          </w:p>
        </w:tc>
        <w:tc>
          <w:tcPr>
            <w:tcW w:w="2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334,666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219</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121</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132,524</w:t>
            </w:r>
          </w:p>
        </w:tc>
        <w:tc>
          <w:tcPr>
            <w:tcW w:w="34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750,349</w:t>
            </w:r>
          </w:p>
        </w:tc>
        <w:tc>
          <w:tcPr>
            <w:tcW w:w="22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76,560</w:t>
            </w:r>
          </w:p>
        </w:tc>
        <w:tc>
          <w:tcPr>
            <w:tcW w:w="2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334,410</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(426)</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18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562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132,098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750,137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76,351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wp:posOffset>
            </wp:positionV>
            <wp:extent cx="3687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-113030</wp:posOffset>
            </wp:positionV>
            <wp:extent cx="3687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Stockholders</w:t>
      </w:r>
    </w:p>
    <w:p>
      <w:pPr>
        <w:sectPr>
          <w:pgSz w:w="11900" w:h="16838" w:orient="portrait"/>
          <w:cols w:equalWidth="0" w:num="1">
            <w:col w:w="11420"/>
          </w:cols>
          <w:pgMar w:left="240" w:top="584" w:right="239" w:bottom="1440" w:gutter="0" w:footer="0" w:header="0"/>
        </w:sectPr>
      </w:pP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 net of tax</w:t>
      </w:r>
    </w:p>
    <w:p>
      <w:pPr>
        <w:spacing w:after="0" w:line="59" w:lineRule="exact"/>
        <w:rPr>
          <w:sz w:val="20"/>
          <w:szCs w:val="20"/>
          <w:color w:val="auto"/>
        </w:rPr>
      </w:pPr>
    </w:p>
    <w:p>
      <w:pPr>
        <w:ind w:left="360" w:right="220" w:hanging="80"/>
        <w:spacing w:after="0" w:line="260" w:lineRule="auto"/>
        <w:rPr>
          <w:sz w:val="20"/>
          <w:szCs w:val="20"/>
          <w:color w:val="auto"/>
        </w:rPr>
      </w:pPr>
      <w:r>
        <w:rPr>
          <w:rFonts w:ascii="Arial" w:cs="Arial" w:eastAsia="Arial" w:hAnsi="Arial"/>
          <w:sz w:val="16"/>
          <w:szCs w:val="16"/>
          <w:color w:val="auto"/>
        </w:rPr>
        <w:t>Net income attributable to Graham Holdings Company common stockholders</w:t>
      </w:r>
    </w:p>
    <w:p>
      <w:pPr>
        <w:spacing w:after="0" w:line="14" w:lineRule="exact"/>
        <w:rPr>
          <w:sz w:val="20"/>
          <w:szCs w:val="20"/>
          <w:color w:val="auto"/>
        </w:rPr>
      </w:pPr>
    </w:p>
    <w:p>
      <w:pPr>
        <w:ind w:left="120" w:hanging="80"/>
        <w:spacing w:after="0" w:line="286"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income per common share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income per common share from discontinued operations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net income per common share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per common share from discontinued operations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net income per common share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104,336</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344,900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10,142</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305,761</w:t>
            </w: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27,762</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405,237</w:t>
            </w: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66,209</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28,649</w:t>
            </w:r>
          </w:p>
        </w:tc>
      </w:tr>
      <w:tr>
        <w:trPr>
          <w:trHeight w:val="399"/>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132,098</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750,137</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76,351</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43"/>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46.35</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52.76</w:t>
            </w: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54.45</w:t>
            </w: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17.85</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100.80</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14.05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46.20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52.48</w:t>
            </w:r>
          </w:p>
        </w:tc>
      </w:tr>
      <w:tr>
        <w:trPr>
          <w:trHeight w:val="283"/>
        </w:trPr>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54.28</w:t>
            </w: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r>
      <w:tr>
        <w:trPr>
          <w:trHeight w:val="264"/>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17.79</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100.48</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13.12</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60" w:space="560"/>
            <w:col w:w="5800"/>
          </w:cols>
          <w:pgMar w:left="240" w:top="584" w:right="2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right="300"/>
        <w:spacing w:after="0" w:line="235" w:lineRule="auto"/>
        <w:rPr>
          <w:sz w:val="20"/>
          <w:szCs w:val="20"/>
          <w:color w:val="auto"/>
        </w:rPr>
      </w:pPr>
      <w:r>
        <w:rPr>
          <w:rFonts w:ascii="Arial" w:cs="Arial" w:eastAsia="Arial" w:hAnsi="Arial"/>
          <w:sz w:val="18"/>
          <w:szCs w:val="18"/>
          <w:color w:val="auto"/>
        </w:rPr>
        <w:t>The following table summarizes the annual operating results of the Company following the reclassification of operations discussed above as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2,160,417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2,163,734</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308,214</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275,024</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268,401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161,844</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2,737,032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2,600,602</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1,261,753</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1,210,863</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1,132,157</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1,123,965</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74,913</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101,171</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18,187</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11,919</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Impairment of intangible and other long-lived assets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17,302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2,504,312</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2,451,168</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232,720</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149,434</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100,370</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3"/>
                <w:szCs w:val="23"/>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2,136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(35,533)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(35,931)</w:t>
            </w:r>
          </w:p>
        </w:tc>
        <w:tc>
          <w:tcPr>
            <w:tcW w:w="0" w:type="dxa"/>
            <w:vAlign w:val="bottom"/>
          </w:tcPr>
          <w:p>
            <w:pPr>
              <w:spacing w:after="0"/>
              <w:rPr>
                <w:sz w:val="1"/>
                <w:szCs w:val="1"/>
                <w:color w:val="auto"/>
              </w:rPr>
            </w:pPr>
          </w:p>
        </w:tc>
      </w:tr>
      <w:tr>
        <w:trPr>
          <w:trHeight w:val="283"/>
        </w:trPr>
        <w:tc>
          <w:tcPr>
            <w:tcW w:w="85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778,010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1,077,703</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105,231</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312,300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40,500</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765,403</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64,731</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527,857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172,614</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1,293,260</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237,345</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1,293,843</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236,865</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1,292,996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584" w:right="239" w:bottom="0" w:gutter="0" w:footer="0" w:header="0"/>
        </w:sectPr>
      </w:pPr>
    </w:p>
    <w:p>
      <w:pPr>
        <w:ind w:left="280"/>
        <w:spacing w:after="0"/>
        <w:rPr>
          <w:sz w:val="20"/>
          <w:szCs w:val="20"/>
          <w:color w:val="auto"/>
        </w:rPr>
      </w:pPr>
      <w:r>
        <w:rPr>
          <w:rFonts w:ascii="Arial" w:cs="Arial" w:eastAsia="Arial" w:hAnsi="Arial"/>
          <w:sz w:val="16"/>
          <w:szCs w:val="16"/>
          <w:color w:val="auto"/>
        </w:rPr>
        <w:t>Income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280" w:right="3100"/>
        <w:spacing w:after="0" w:line="366" w:lineRule="auto"/>
        <w:rPr>
          <w:sz w:val="20"/>
          <w:szCs w:val="20"/>
          <w:color w:val="auto"/>
        </w:rPr>
      </w:pPr>
      <w:r>
        <w:rPr>
          <w:rFonts w:ascii="Arial" w:cs="Arial" w:eastAsia="Arial" w:hAnsi="Arial"/>
          <w:sz w:val="16"/>
          <w:szCs w:val="16"/>
          <w:color w:val="auto"/>
        </w:rPr>
        <w:t>Basic income per common share from continuing operations Basic income per common share from discontinued operations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net income per common share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per common share from continuing operations</w:t>
      </w:r>
    </w:p>
    <w:p>
      <w:pPr>
        <w:spacing w:after="0" w:line="86" w:lineRule="exact"/>
        <w:rPr>
          <w:sz w:val="20"/>
          <w:szCs w:val="20"/>
          <w:color w:val="auto"/>
        </w:rPr>
      </w:pPr>
    </w:p>
    <w:p>
      <w:pPr>
        <w:ind w:left="280" w:right="2980"/>
        <w:spacing w:after="0" w:line="401" w:lineRule="auto"/>
        <w:rPr>
          <w:sz w:val="20"/>
          <w:szCs w:val="20"/>
          <w:color w:val="auto"/>
        </w:rPr>
      </w:pPr>
      <w:r>
        <w:rPr>
          <w:rFonts w:ascii="Arial" w:cs="Arial" w:eastAsia="Arial" w:hAnsi="Arial"/>
          <w:sz w:val="16"/>
          <w:szCs w:val="16"/>
          <w:color w:val="auto"/>
        </w:rPr>
        <w:t>Diluted income per common share from discontinued operations Diluted net income per common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765,139</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63,396</w:t>
            </w:r>
          </w:p>
        </w:tc>
      </w:tr>
      <w:tr>
        <w:trPr>
          <w:trHeight w:val="283"/>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527,857</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172,614</w:t>
            </w:r>
          </w:p>
        </w:tc>
      </w:tr>
      <w:tr>
        <w:trPr>
          <w:trHeight w:val="264"/>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1,292,996</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236,010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8"/>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115.88</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283"/>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79.93</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23.48</w:t>
            </w:r>
          </w:p>
        </w:tc>
      </w:tr>
      <w:tr>
        <w:trPr>
          <w:trHeight w:val="264"/>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195.81</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115.40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283"/>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79.63</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23.44</w:t>
            </w:r>
          </w:p>
        </w:tc>
      </w:tr>
      <w:tr>
        <w:trPr>
          <w:trHeight w:val="264"/>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195.03</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ectPr>
          <w:pgSz w:w="11900" w:h="16838" w:orient="portrait"/>
          <w:cols w:equalWidth="0" w:num="2">
            <w:col w:w="7860" w:space="720"/>
            <w:col w:w="2840"/>
          </w:cols>
          <w:pgMar w:left="240" w:top="584"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As of September 30, 2015 and December 31, 2014, the Company had commercial paper and money market investments of $804.7 million and $594.3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2014</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6"/>
                <w:szCs w:val="16"/>
                <w:b w:val="1"/>
                <w:bCs w:val="1"/>
                <w:color w:val="auto"/>
              </w:rPr>
              <w:t>242,505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106,909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23"/>
                <w:szCs w:val="23"/>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b w:val="1"/>
                <w:bCs w:val="1"/>
                <w:color w:val="auto"/>
              </w:rPr>
              <w:t>74,263</w:t>
            </w:r>
          </w:p>
        </w:tc>
        <w:tc>
          <w:tcPr>
            <w:tcW w:w="2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86,884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(3,876)</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312,892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193,793</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invested $135.6 million in marketable equity securities during the first nine months of 2015. There were no new investments in marketable equity securities during the first nine months of 2014. There were no sales of marketable equity securities in the first nine months of 2015. In the first quarter of 2014, the Company recorded a $0.5 million write-down of the Company's investment in Corinthian Colleges, Inc., a publicly traded company. In the second quarter of 2014, the Company sold its remaining investment in Corinthian Colleges, Inc. During the first nine</w:t>
      </w:r>
    </w:p>
    <w:p>
      <w:pPr>
        <w:sectPr>
          <w:pgSz w:w="11900" w:h="16838" w:orient="portrait"/>
          <w:cols w:equalWidth="0" w:num="1">
            <w:col w:w="11420"/>
          </w:cols>
          <w:pgMar w:left="240" w:top="584" w:right="239" w:bottom="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019"/>
          </w:cols>
          <w:pgMar w:left="1440" w:top="140"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months of 2014, the proceeds from sales of these marketable securities were $5.8 million and net realized losses were $2.6 million.</w:t>
      </w:r>
    </w:p>
    <w:p>
      <w:pPr>
        <w:spacing w:after="0" w:line="144"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the second quarter of 2015, the Company acquired an approximate 20% in HomeHero, a company that created and manages an online senior home care marketplace, which is accounted for as an investment in affiliate. As of September 30, 2015, the Company also held a 40% interest in Residential Home Health Illinois, a 42.5% interest in Residential Hospice Illinois, a 40% interest in the joint venture formed between Celtic Healthcare and Allegheny Health Network (AHN) and interests in several other affiliates (see Note 4).</w:t>
      </w:r>
    </w:p>
    <w:p>
      <w:pPr>
        <w:spacing w:after="0" w:line="135"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DISPOSITIONS, EXCHANGES AND OTHER</w:t>
      </w:r>
    </w:p>
    <w:p>
      <w:pPr>
        <w:spacing w:after="0" w:line="14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In the first nine months of 2015, the Company did not make any acquisitions. In the first nine months of 2014,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seven businesses totaling $204.9 million, comprised of four businesses in other businesses, two businesses in Kaplan Test Prep, and one business in Kaplan Higher Ed. The purchase price allocation mostly comprised goodwill, other intangible assets, and other current assets.</w:t>
      </w:r>
    </w:p>
    <w:p>
      <w:pPr>
        <w:spacing w:after="0" w:line="121"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The operating results of these businesses are included in other businesses. Residential Healthcare Group, Inc. has a 40% ownership interest in Residential Home Health Illinois and a 42.5% ownership interest in Residential Hospice Illinois, which are accounted for as investments in affiliates.</w:t>
      </w:r>
    </w:p>
    <w:p>
      <w:pPr>
        <w:spacing w:after="0" w:line="11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July 1, 2015, the Company completed the spin-off of Cable ONE, by way of a distribution of all the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Cable ONE common stock, on a pro rata basis, to the Company's stockholders (see Note 2).</w:t>
      </w:r>
    </w:p>
    <w:p>
      <w:pPr>
        <w:spacing w:after="0" w:line="12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ED in connection with its post-closing review of the transaction, Kaplan 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are being sold as part of the ECA transaction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43,121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66,314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167,244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202,577</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spacing w:after="0"/>
              <w:rPr>
                <w:sz w:val="23"/>
                <w:szCs w:val="23"/>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629</w:t>
            </w:r>
          </w:p>
        </w:tc>
        <w:tc>
          <w:tcPr>
            <w:tcW w:w="36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(2,474)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(6,672)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(9,981)</w:t>
            </w:r>
          </w:p>
        </w:tc>
      </w:tr>
    </w:tbl>
    <w:p>
      <w:pPr>
        <w:spacing w:after="0" w:line="16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assets impairment charge in connection with the KHE Campuses business.</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(losses) in other non-operating (expense)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6" w:name="page17"/>
    <w:bookmarkEnd w:id="16"/>
    <w:p>
      <w:pPr>
        <w:ind w:right="20"/>
        <w:spacing w:after="0" w:line="233"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15"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Allegheny Health Network closed on the formation of a joint venture to combine each other’s home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38"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The Company’s income from continuing operations excludes Cable ONE, the sold Kaplan China schools and WPLG,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the Company performed an interim impairment review of its goodwill and long-lived assets at the KHE reporting unit. Due to the complexity and effort required to estimate the fair value of the KHE reporting unit in step one of the impairment test and the fair value of the assets and liabilities of the KHE reporting unit in the step two analysis, the Company derived the fair value estimates based on preliminary assumptions and analysis that are subject to change. The KHE reporting unit failed the preliminary step one goodwill test. As a result of the preliminary step two analysis, the Company recorded an estimated $248.6 million goodwill impairment charge. The Company estimated the fair value of the KHE reporting unit utilizing a discounted cash flow model, supported by a market approach. A substantial portion of the estimated impairment charge is due to the amount of unrecognized intangible assets identified in the preliminary step two analysis. Any adjustment to the estimated impairment charge will be recorded in the fourth quarter of 2015.</w:t>
      </w:r>
    </w:p>
    <w:p>
      <w:pPr>
        <w:spacing w:after="0" w:line="141"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Amortization of intangible assets for the three months ended September 30, 2015 and 2014 was $4.5 million and $7.4 million, respectively. Amortization of intangible assets for the nine months ended September 30, 2015 and 2014 was $13.9 million and $13.0 million, respectively. Amortization of intangible assets is estimated to be approximately $4 million for the remainder of 2015, $17 million in 2016, $14 million in 2017, $13 million in 2018, $12 million in 2019 and $22 million thereafter.</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July 2014, the cable division sold wireless spectrum licenses that were purchased in 2006; a pre-tax non-operating gain of $75.2 million was recorded in the third quarter of 2014 in connection with these sales. As a result of the Cable spin-off, this amount is now recorded in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Cable</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1,057,226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85,488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145,992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1,457,051</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1"/>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954,967</w:t>
            </w:r>
          </w:p>
        </w:tc>
        <w:tc>
          <w:tcPr>
            <w:tcW w:w="30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85,488</w:t>
            </w:r>
          </w:p>
        </w:tc>
        <w:tc>
          <w:tcPr>
            <w:tcW w:w="24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139,910</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1,348,710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4,570</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4,570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(248,591)</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(248,591)</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(33,502)</w:t>
            </w:r>
          </w:p>
        </w:tc>
        <w:tc>
          <w:tcPr>
            <w:tcW w:w="3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(85,488)</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(7,819)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(126,809)</w:t>
            </w:r>
          </w:p>
        </w:tc>
      </w:tr>
      <w:tr>
        <w:trPr>
          <w:trHeight w:val="28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(30,524)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(30,524)</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993,200</w:t>
            </w:r>
          </w:p>
        </w:tc>
        <w:tc>
          <w:tcPr>
            <w:tcW w:w="30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142,743</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1,304,288</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(356,932)</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642,350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136,661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947,356</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recorded a $4.6 million measurement period adjustment in the second quarter of 2015 upon the finalization of the purchase accounting related to deferred income taxes in connection with the acquisition of Residential Healthcare, Inc. The balance sheet as of December 31, 2014 has not been revised for the measurement period adjustment as the Company believes it is not material to the Company's financial position.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6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1"/>
              <w:spacing w:after="0"/>
              <w:rPr>
                <w:sz w:val="20"/>
                <w:szCs w:val="20"/>
                <w:color w:val="auto"/>
              </w:rPr>
            </w:pPr>
            <w:r>
              <w:rPr>
                <w:rFonts w:ascii="Arial" w:cs="Arial" w:eastAsia="Arial" w:hAnsi="Arial"/>
                <w:sz w:val="14"/>
                <w:szCs w:val="14"/>
                <w:b w:val="1"/>
                <w:bCs w:val="1"/>
                <w:color w:val="auto"/>
              </w:rPr>
              <w:t>Kaplan</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1,057,226</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1"/>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409,884</w:t>
            </w:r>
          </w:p>
        </w:tc>
        <w:tc>
          <w:tcPr>
            <w:tcW w:w="2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2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481,244</w:t>
            </w: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954,967</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(248,591)</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(248,591)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(28,738)</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(4,764)</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(33,502)</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(30,244)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(30,524)</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380,866</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446,236</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993,200</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(248,591)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132,275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446,236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642,350</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center"/>
              <w:ind w:left="582"/>
              <w:spacing w:after="0"/>
              <w:rPr>
                <w:sz w:val="20"/>
                <w:szCs w:val="20"/>
                <w:color w:val="auto"/>
              </w:rPr>
            </w:pPr>
            <w:r>
              <w:rPr>
                <w:rFonts w:ascii="Arial" w:cs="Arial" w:eastAsia="Arial" w:hAnsi="Arial"/>
                <w:sz w:val="14"/>
                <w:szCs w:val="14"/>
                <w:b w:val="1"/>
                <w:bCs w:val="1"/>
                <w:color w:val="auto"/>
              </w:rPr>
              <w:t>As of September 30, 2015</w:t>
            </w: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As of December 31, 2014</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5"/>
                <w:szCs w:val="15"/>
                <w:color w:val="auto"/>
              </w:rPr>
            </w:pPr>
          </w:p>
        </w:tc>
        <w:tc>
          <w:tcPr>
            <w:tcW w:w="680" w:type="dxa"/>
            <w:vAlign w:val="bottom"/>
            <w:gridSpan w:val="2"/>
          </w:tcPr>
          <w:p>
            <w:pPr>
              <w:jc w:val="center"/>
              <w:ind w:right="28"/>
              <w:spacing w:after="0"/>
              <w:rPr>
                <w:sz w:val="20"/>
                <w:szCs w:val="20"/>
                <w:color w:val="auto"/>
              </w:rPr>
            </w:pPr>
            <w:r>
              <w:rPr>
                <w:rFonts w:ascii="Arial" w:cs="Arial" w:eastAsia="Arial" w:hAnsi="Arial"/>
                <w:sz w:val="14"/>
                <w:szCs w:val="14"/>
                <w:color w:val="auto"/>
              </w:rPr>
              <w:t>Gross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center"/>
              <w:ind w:right="121"/>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380" w:type="dxa"/>
            <w:vAlign w:val="bottom"/>
          </w:tcPr>
          <w:p>
            <w:pPr>
              <w:jc w:val="center"/>
              <w:ind w:right="142"/>
              <w:spacing w:after="0"/>
              <w:rPr>
                <w:sz w:val="20"/>
                <w:szCs w:val="20"/>
                <w:color w:val="auto"/>
              </w:rPr>
            </w:pPr>
            <w:r>
              <w:rPr>
                <w:rFonts w:ascii="Arial" w:cs="Arial" w:eastAsia="Arial" w:hAnsi="Arial"/>
                <w:sz w:val="14"/>
                <w:szCs w:val="14"/>
                <w:b w:val="1"/>
                <w:bCs w:val="1"/>
                <w:color w:val="auto"/>
              </w:rPr>
              <w:t>Useful Life</w:t>
            </w:r>
          </w:p>
        </w:tc>
        <w:tc>
          <w:tcPr>
            <w:tcW w:w="16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Arial" w:cs="Arial" w:eastAsia="Arial" w:hAnsi="Arial"/>
                <w:sz w:val="14"/>
                <w:szCs w:val="14"/>
                <w:color w:val="auto"/>
              </w:rPr>
              <w:t>Carrying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Range</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62"/>
              <w:spacing w:after="0"/>
              <w:rPr>
                <w:sz w:val="20"/>
                <w:szCs w:val="20"/>
                <w:color w:val="auto"/>
              </w:rPr>
            </w:pPr>
            <w:r>
              <w:rPr>
                <w:rFonts w:ascii="Arial" w:cs="Arial" w:eastAsia="Arial" w:hAnsi="Arial"/>
                <w:sz w:val="16"/>
                <w:szCs w:val="16"/>
                <w:b w:val="1"/>
                <w:bCs w:val="1"/>
                <w:color w:val="auto"/>
              </w:rPr>
              <w:t>2–5 years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1,681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1,232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449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2,500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1,590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ind w:right="142"/>
              <w:spacing w:after="0"/>
              <w:rPr>
                <w:sz w:val="20"/>
                <w:szCs w:val="20"/>
                <w:color w:val="auto"/>
              </w:rPr>
            </w:pPr>
            <w:r>
              <w:rPr>
                <w:rFonts w:ascii="Arial" w:cs="Arial" w:eastAsia="Arial" w:hAnsi="Arial"/>
                <w:sz w:val="16"/>
                <w:szCs w:val="16"/>
                <w:b w:val="1"/>
                <w:bCs w:val="1"/>
                <w:color w:val="auto"/>
              </w:rPr>
              <w:t>2–10 years</w:t>
            </w:r>
          </w:p>
        </w:tc>
        <w:tc>
          <w:tcPr>
            <w:tcW w:w="1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86,839</w:t>
            </w:r>
          </w:p>
        </w:tc>
        <w:tc>
          <w:tcPr>
            <w:tcW w:w="2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37,528</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49,311</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104,685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47,539</w:t>
            </w:r>
          </w:p>
        </w:tc>
        <w:tc>
          <w:tcPr>
            <w:tcW w:w="2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62"/>
              <w:spacing w:after="0"/>
              <w:rPr>
                <w:sz w:val="20"/>
                <w:szCs w:val="20"/>
                <w:color w:val="auto"/>
              </w:rPr>
            </w:pPr>
            <w:r>
              <w:rPr>
                <w:rFonts w:ascii="Arial" w:cs="Arial" w:eastAsia="Arial" w:hAnsi="Arial"/>
                <w:sz w:val="16"/>
                <w:szCs w:val="16"/>
                <w:b w:val="1"/>
                <w:bCs w:val="1"/>
                <w:color w:val="auto"/>
              </w:rPr>
              <w:t>3–5 years</w:t>
            </w:r>
          </w:p>
        </w:tc>
        <w:tc>
          <w:tcPr>
            <w:tcW w:w="1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10,518</w:t>
            </w:r>
          </w:p>
        </w:tc>
        <w:tc>
          <w:tcPr>
            <w:tcW w:w="2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9,367</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1,151</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10,501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8,827</w:t>
            </w:r>
          </w:p>
        </w:tc>
        <w:tc>
          <w:tcPr>
            <w:tcW w:w="2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ind w:right="142"/>
              <w:spacing w:after="0"/>
              <w:rPr>
                <w:sz w:val="20"/>
                <w:szCs w:val="20"/>
                <w:color w:val="auto"/>
              </w:rPr>
            </w:pPr>
            <w:r>
              <w:rPr>
                <w:rFonts w:ascii="Arial" w:cs="Arial" w:eastAsia="Arial" w:hAnsi="Arial"/>
                <w:sz w:val="16"/>
                <w:szCs w:val="16"/>
                <w:b w:val="1"/>
                <w:bCs w:val="1"/>
                <w:color w:val="auto"/>
              </w:rPr>
              <w:t>2–10 years</w:t>
            </w:r>
          </w:p>
        </w:tc>
        <w:tc>
          <w:tcPr>
            <w:tcW w:w="1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53,140</w:t>
            </w:r>
          </w:p>
        </w:tc>
        <w:tc>
          <w:tcPr>
            <w:tcW w:w="2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22,709</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30,431</w:t>
            </w: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55,452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19,724</w:t>
            </w:r>
          </w:p>
        </w:tc>
        <w:tc>
          <w:tcPr>
            <w:tcW w:w="2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35,728</w:t>
            </w:r>
          </w:p>
        </w:tc>
        <w:tc>
          <w:tcPr>
            <w:tcW w:w="0" w:type="dxa"/>
            <w:vAlign w:val="bottom"/>
          </w:tcPr>
          <w:p>
            <w:pPr>
              <w:spacing w:after="0"/>
              <w:rPr>
                <w:sz w:val="1"/>
                <w:szCs w:val="1"/>
                <w:color w:val="auto"/>
              </w:rPr>
            </w:pPr>
          </w:p>
        </w:tc>
      </w:tr>
      <w:tr>
        <w:trPr>
          <w:trHeight w:val="283"/>
        </w:trPr>
        <w:tc>
          <w:tcPr>
            <w:tcW w:w="3440" w:type="dxa"/>
            <w:vAlign w:val="bottom"/>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42"/>
              <w:spacing w:after="0"/>
              <w:rPr>
                <w:sz w:val="20"/>
                <w:szCs w:val="20"/>
                <w:color w:val="auto"/>
              </w:rPr>
            </w:pPr>
            <w:r>
              <w:rPr>
                <w:rFonts w:ascii="Arial" w:cs="Arial" w:eastAsia="Arial" w:hAnsi="Arial"/>
                <w:sz w:val="16"/>
                <w:szCs w:val="16"/>
                <w:b w:val="1"/>
                <w:bCs w:val="1"/>
                <w:color w:val="auto"/>
              </w:rPr>
              <w:t>1–6 years (1)</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2,184</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1,712</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472</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8,969</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7,480</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154,362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72,548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81,814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182,107</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85,160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96,947</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496,321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994</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6,781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440" w:type="dxa"/>
            <w:vAlign w:val="bottom"/>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13,651</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13,651</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14,645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516,753</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60" w:type="dxa"/>
            <w:vAlign w:val="bottom"/>
            <w:gridSpan w:val="8"/>
          </w:tcPr>
          <w:p>
            <w:pPr>
              <w:spacing w:after="0"/>
              <w:rPr>
                <w:sz w:val="20"/>
                <w:szCs w:val="20"/>
                <w:color w:val="auto"/>
              </w:rPr>
            </w:pPr>
            <w:r>
              <w:rPr>
                <w:rFonts w:ascii="Arial" w:cs="Arial" w:eastAsia="Arial" w:hAnsi="Arial"/>
                <w:sz w:val="14"/>
                <w:szCs w:val="14"/>
                <w:color w:val="auto"/>
              </w:rPr>
              <w:t>(1)   The Company’s other amortized intangible assets maximum useful life was 25 years as of December 31, 2014.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44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gridSpan w:val="2"/>
          </w:tcPr>
          <w:p>
            <w:pPr>
              <w:spacing w:after="0"/>
              <w:rPr>
                <w:sz w:val="20"/>
                <w:szCs w:val="20"/>
                <w:color w:val="auto"/>
              </w:rPr>
            </w:pPr>
            <w:r>
              <w:rPr>
                <w:rFonts w:ascii="Arial" w:cs="Arial" w:eastAsia="Arial" w:hAnsi="Arial"/>
                <w:sz w:val="18"/>
                <w:szCs w:val="18"/>
                <w:color w:val="auto"/>
              </w:rPr>
              <w:t>The Company’s borrowings consist of the following:</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3"/>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328"/>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398,619</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398,308</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40,927</w:t>
            </w:r>
          </w:p>
        </w:tc>
        <w:tc>
          <w:tcPr>
            <w:tcW w:w="0" w:type="dxa"/>
            <w:vAlign w:val="bottom"/>
          </w:tcPr>
          <w:p>
            <w:pPr>
              <w:spacing w:after="0"/>
              <w:rPr>
                <w:sz w:val="1"/>
                <w:szCs w:val="1"/>
                <w:color w:val="auto"/>
              </w:rPr>
            </w:pPr>
          </w:p>
        </w:tc>
      </w:tr>
      <w:tr>
        <w:trPr>
          <w:trHeight w:val="283"/>
        </w:trPr>
        <w:tc>
          <w:tcPr>
            <w:tcW w:w="344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4,203</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6,685</w:t>
            </w: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402,822</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445,920</w:t>
            </w:r>
          </w:p>
        </w:tc>
        <w:tc>
          <w:tcPr>
            <w:tcW w:w="0" w:type="dxa"/>
            <w:vAlign w:val="bottom"/>
          </w:tcPr>
          <w:p>
            <w:pPr>
              <w:spacing w:after="0"/>
              <w:rPr>
                <w:sz w:val="1"/>
                <w:szCs w:val="1"/>
                <w:color w:val="auto"/>
              </w:rPr>
            </w:pPr>
          </w:p>
        </w:tc>
      </w:tr>
      <w:tr>
        <w:trPr>
          <w:trHeight w:val="283"/>
        </w:trPr>
        <w:tc>
          <w:tcPr>
            <w:tcW w:w="344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(3,000)</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(46,375)</w:t>
            </w:r>
          </w:p>
        </w:tc>
        <w:tc>
          <w:tcPr>
            <w:tcW w:w="0" w:type="dxa"/>
            <w:vAlign w:val="bottom"/>
          </w:tcPr>
          <w:p>
            <w:pPr>
              <w:spacing w:after="0"/>
              <w:rPr>
                <w:sz w:val="1"/>
                <w:szCs w:val="1"/>
                <w:color w:val="auto"/>
              </w:rPr>
            </w:pPr>
          </w:p>
        </w:tc>
      </w:tr>
      <w:tr>
        <w:trPr>
          <w:trHeight w:val="267"/>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328"/>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3"/>
          </w:tcPr>
          <w:p>
            <w:pPr>
              <w:jc w:val="right"/>
              <w:spacing w:after="0"/>
              <w:rPr>
                <w:sz w:val="20"/>
                <w:szCs w:val="20"/>
                <w:color w:val="auto"/>
              </w:rPr>
            </w:pPr>
            <w:r>
              <w:rPr>
                <w:rFonts w:ascii="Arial" w:cs="Arial" w:eastAsia="Arial" w:hAnsi="Arial"/>
                <w:sz w:val="16"/>
                <w:szCs w:val="16"/>
                <w:b w:val="1"/>
                <w:bCs w:val="1"/>
                <w:color w:val="auto"/>
              </w:rPr>
              <w:t>399,822</w:t>
            </w:r>
          </w:p>
        </w:tc>
        <w:tc>
          <w:tcPr>
            <w:tcW w:w="5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399,545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other indebtedness at September 30, 2015 is at an interest rate of 6% and matures from 2015 to 2017. The Company’s other indebtedness at December 31, 2014 is at interest rates from 0% to 6% and matures from 2015 to 2017.</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June 30, 2015, the Company's debt included $550 million related to Cable ONE. With the Cable ONE spin-off effective on July 1, 2015, the Cable ONE debt is no longer an obligation of the Company.</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w:t>
      </w:r>
    </w:p>
    <w:p>
      <w:pPr>
        <w:sectPr>
          <w:pgSz w:w="11900" w:h="16838" w:orient="portrait"/>
          <w:cols w:equalWidth="0" w:num="1">
            <w:col w:w="11420"/>
          </w:cols>
          <w:pgMar w:left="240" w:top="584" w:right="239" w:bottom="368"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84" w:right="239" w:bottom="368" w:gutter="0" w:footer="0" w:header="0"/>
          <w:type w:val="continuous"/>
        </w:sectPr>
      </w:pPr>
    </w:p>
    <w:bookmarkStart w:id="18" w:name="page19"/>
    <w:bookmarkEnd w:id="18"/>
    <w:p>
      <w:pPr>
        <w:ind w:right="20"/>
        <w:spacing w:after="0" w:line="222" w:lineRule="auto"/>
        <w:rPr>
          <w:sz w:val="20"/>
          <w:szCs w:val="20"/>
          <w:color w:val="auto"/>
        </w:rPr>
      </w:pPr>
      <w:r>
        <w:rPr>
          <w:rFonts w:ascii="Arial" w:cs="Arial" w:eastAsia="Arial" w:hAnsi="Arial"/>
          <w:sz w:val="18"/>
          <w:szCs w:val="18"/>
          <w:color w:val="auto"/>
        </w:rPr>
        <w:t>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September 30, 2015, the Company is in compliance with all financial covenants.</w:t>
      </w:r>
    </w:p>
    <w:p>
      <w:pPr>
        <w:spacing w:after="0" w:line="13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On March 9, 2015, the Company repaid the AUD 50 million borrowed under its revolving credit facility. On the same day, the AUD 50 million interest rate swap agreements matured.</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September 30, 2015 and 2014, the Company had average borrowings outstanding of approximately $404.2 million and $450.9 million, respectively, at average annual interest rates of approximately 7.2% and 7.0%, respectively. During the three months ended September 30, 2015 and 2014, the Company incurred net interest expense of $7.3 million and $8.8 million, respectively.</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the nine months ended September 30, 2015 and 2014, the Company had average borrowings outstanding of approximately $436.3 million and $451.4 million, respectively, at average annual interest rates of approximately 7.0%. During the nine months ended September 30, 2015 and 2014, the Company incurred net interest expense of $23.3 million and $24.8 million, respectively.</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At September 30, 2015, the fair value of the Company’s 7.25% unsecured notes, based on quoted market prices, totaled $422.0 million, compared with the carrying amount of $398.6 million. At December 31, 2014, the fair value of the Company’s 7.25% unsecured notes, based on quoted market prices, totaled $450.3 million, compared with the carrying amount of $398.3 million. The carrying value of the Company’s other unsecured debt at September 30, 2015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2015</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554,913</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554,913</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(2)</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249,827</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249,827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(3)</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312,892</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312,892</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16,031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14,153</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30,184</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578,750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569,066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1,147,816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48,765</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48,765</w:t>
            </w:r>
          </w:p>
        </w:tc>
        <w:tc>
          <w:tcPr>
            <w:tcW w:w="0" w:type="dxa"/>
            <w:vAlign w:val="bottom"/>
          </w:tcPr>
          <w:p>
            <w:pPr>
              <w:spacing w:after="0"/>
              <w:rPr>
                <w:sz w:val="1"/>
                <w:szCs w:val="1"/>
                <w:color w:val="auto"/>
              </w:rPr>
            </w:pPr>
          </w:p>
        </w:tc>
      </w:tr>
      <w:tr>
        <w:trPr>
          <w:trHeight w:val="197"/>
        </w:trPr>
        <w:tc>
          <w:tcPr>
            <w:tcW w:w="7780" w:type="dxa"/>
            <w:vAlign w:val="bottom"/>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w:t>
      </w:r>
    </w:p>
    <w:p>
      <w:pPr>
        <w:spacing w:after="0" w:line="14" w:lineRule="exact"/>
        <w:rPr>
          <w:rFonts w:ascii="Arial" w:cs="Arial" w:eastAsia="Arial" w:hAnsi="Arial"/>
          <w:sz w:val="14"/>
          <w:szCs w:val="14"/>
          <w:color w:val="auto"/>
        </w:rPr>
      </w:pPr>
    </w:p>
    <w:p>
      <w:pPr>
        <w:ind w:left="420" w:right="40" w:hanging="412"/>
        <w:spacing w:after="0" w:line="246"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ind w:left="876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100" w:val="left"/>
          <w:tab w:leader="none" w:pos="9340" w:val="left"/>
          <w:tab w:leader="none" w:pos="1066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420"/>
          </w:cols>
          <w:pgMar w:left="240" w:top="801" w:right="239" w:bottom="1440" w:gutter="0" w:footer="0" w:header="0"/>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 paper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(4)</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368,131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368,131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226,197</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226,197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193,793</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193,793</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11,788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21,171</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32,959</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431,778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389,302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821,080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ectPr>
          <w:pgSz w:w="11900" w:h="16838" w:orient="portrait"/>
          <w:cols w:equalWidth="0" w:num="2">
            <w:col w:w="7060" w:space="720"/>
            <w:col w:w="3640"/>
          </w:cols>
          <w:pgMar w:left="240" w:top="80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780" w:type="dxa"/>
            <w:vAlign w:val="bottom"/>
          </w:tcPr>
          <w:p>
            <w:pPr>
              <w:ind w:left="40"/>
              <w:spacing w:after="0"/>
              <w:rPr>
                <w:sz w:val="20"/>
                <w:szCs w:val="20"/>
                <w:color w:val="auto"/>
              </w:rPr>
            </w:pPr>
            <w:r>
              <w:rPr>
                <w:rFonts w:ascii="Arial" w:cs="Arial" w:eastAsia="Arial" w:hAnsi="Arial"/>
                <w:sz w:val="16"/>
                <w:szCs w:val="16"/>
                <w:color w:val="auto"/>
              </w:rPr>
              <w:t>Deferred compensation plan liabilities (5)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70,661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70,661</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Interest rate swap (6)</w:t>
            </w: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179</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70,840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70,840</w:t>
            </w:r>
          </w:p>
        </w:tc>
        <w:tc>
          <w:tcPr>
            <w:tcW w:w="0" w:type="dxa"/>
            <w:vAlign w:val="bottom"/>
          </w:tcPr>
          <w:p>
            <w:pPr>
              <w:spacing w:after="0"/>
              <w:rPr>
                <w:sz w:val="1"/>
                <w:szCs w:val="1"/>
                <w:color w:val="auto"/>
              </w:rPr>
            </w:pPr>
          </w:p>
        </w:tc>
      </w:tr>
      <w:tr>
        <w:trPr>
          <w:trHeight w:val="20"/>
        </w:trPr>
        <w:tc>
          <w:tcPr>
            <w:tcW w:w="7780" w:type="dxa"/>
            <w:vAlign w:val="bottom"/>
            <w:vMerge w:val="restart"/>
          </w:tcPr>
          <w:p>
            <w:pPr>
              <w:jc w:val="right"/>
              <w:ind w:right="6741"/>
              <w:spacing w:after="0"/>
              <w:rPr>
                <w:sz w:val="20"/>
                <w:szCs w:val="20"/>
                <w:color w:val="auto"/>
              </w:rPr>
            </w:pPr>
            <w:r>
              <w:rPr>
                <w:rFonts w:ascii="Arial" w:cs="Arial" w:eastAsia="Arial" w:hAnsi="Arial"/>
                <w:sz w:val="14"/>
                <w:szCs w:val="14"/>
                <w:color w:val="auto"/>
              </w:rPr>
              <w:t>____________</w:t>
            </w: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w:t>
      </w:r>
    </w:p>
    <w:p>
      <w:pPr>
        <w:spacing w:after="0" w:line="14" w:lineRule="exact"/>
        <w:rPr>
          <w:rFonts w:ascii="Arial" w:cs="Arial" w:eastAsia="Arial" w:hAnsi="Arial"/>
          <w:sz w:val="14"/>
          <w:szCs w:val="14"/>
          <w:color w:val="auto"/>
        </w:rPr>
      </w:pPr>
    </w:p>
    <w:p>
      <w:pPr>
        <w:ind w:left="420" w:right="40" w:hanging="412"/>
        <w:spacing w:after="0" w:line="246"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63" w:lineRule="exact"/>
        <w:rPr>
          <w:rFonts w:ascii="Arial" w:cs="Arial" w:eastAsia="Arial" w:hAnsi="Arial"/>
          <w:sz w:val="14"/>
          <w:szCs w:val="14"/>
          <w:color w:val="auto"/>
        </w:rPr>
      </w:pPr>
    </w:p>
    <w:p>
      <w:pPr>
        <w:ind w:left="420" w:right="40" w:hanging="412"/>
        <w:spacing w:after="0" w:line="258"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third quarter of 2015, the Company recorded an estimated preliminary goodwill impairment charge of $248.6 million. In the second quarter of 2015, the Company recorded a long-lived asset impairment charge of $6.9 million. In the second quarter of 2014, the Company recorded an intangible asset impairment charge of $7.8 million, reported in discontinued operations (see Note 5). The remeasurements of the goodwill and other long-lived assets are classified as Level 3 fair value assessments due to the significance of unobservable inputs developed in the determination of the fair values.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58"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As a result of the Cable ONE spin-off, the number of Class B common stock authorized for issuance under the 2012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 (the 2012 Plan) was increased from 500,000 shares to 772,588 shares. The individual award limits under the 2012 Plan was also increased from 50,000 shares to 77,258 shares per calendar year.</w:t>
      </w:r>
    </w:p>
    <w:p>
      <w:pPr>
        <w:spacing w:after="0" w:line="114"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Redeemable Preferred Stock. </w:t>
      </w:r>
      <w:r>
        <w:rPr>
          <w:rFonts w:ascii="Arial" w:cs="Arial" w:eastAsia="Arial" w:hAnsi="Arial"/>
          <w:sz w:val="18"/>
          <w:szCs w:val="18"/>
          <w:color w:val="auto"/>
        </w:rPr>
        <w:t>In the third quarter of 2015, the Company notified the holders of the Series A preferred stock of its intention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redeem the shares. On October 1, 2015, the Company redeemed the remaining 10,510 Series A preferred stock, with a par value of $1.00 per share and a liquidation preference of $1,000 per share, for $10.5 million. The Company reclassified the Series A preferred stock to current liabilities in the third quarter of 2015.</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(Loss) Earnings Per Share</w:t>
      </w:r>
      <w:r>
        <w:rPr>
          <w:rFonts w:ascii="Arial" w:cs="Arial" w:eastAsia="Arial" w:hAnsi="Arial"/>
          <w:sz w:val="18"/>
          <w:szCs w:val="18"/>
          <w:color w:val="auto"/>
        </w:rPr>
        <w:t>. On June 30, 2014, the Company acquired 1,620,190 of its Class B common stock owned by Berkshire Hathaway,</w:t>
      </w:r>
      <w:r>
        <w:rPr>
          <w:rFonts w:ascii="Arial" w:cs="Arial" w:eastAsia="Arial" w:hAnsi="Arial"/>
          <w:sz w:val="18"/>
          <w:szCs w:val="18"/>
          <w:b w:val="1"/>
          <w:bCs w:val="1"/>
          <w:color w:val="auto"/>
        </w:rPr>
        <w:t xml:space="preserve"> </w:t>
      </w:r>
      <w:r>
        <w:rPr>
          <w:rFonts w:ascii="Arial" w:cs="Arial" w:eastAsia="Arial" w:hAnsi="Arial"/>
          <w:sz w:val="18"/>
          <w:szCs w:val="18"/>
          <w:color w:val="auto"/>
        </w:rPr>
        <w:t>as described in Note 4.</w:t>
      </w:r>
    </w:p>
    <w:p>
      <w:pPr>
        <w:spacing w:after="0" w:line="12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1" w:right="239" w:bottom="1440" w:gutter="0" w:footer="0" w:header="0"/>
          <w:type w:val="continuous"/>
        </w:sectPr>
      </w:pPr>
    </w:p>
    <w:bookmarkStart w:id="20" w:name="page21"/>
    <w:bookmarkEnd w:id="20"/>
    <w:p>
      <w:pPr>
        <w:ind w:right="6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(loss)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basic (loss) earnings per share:</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280"/>
              <w:spacing w:after="0"/>
              <w:rPr>
                <w:sz w:val="20"/>
                <w:szCs w:val="20"/>
                <w:color w:val="auto"/>
              </w:rPr>
            </w:pPr>
            <w:r>
              <w:rPr>
                <w:rFonts w:ascii="Arial" w:cs="Arial" w:eastAsia="Arial" w:hAnsi="Arial"/>
                <w:sz w:val="16"/>
                <w:szCs w:val="16"/>
                <w:color w:val="auto"/>
              </w:rPr>
              <w:t>(Loss) income from continuing operations attributable to Graham Holdings</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(231,222)</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(194,625)</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440"/>
              <w:spacing w:after="0"/>
              <w:rPr>
                <w:sz w:val="20"/>
                <w:szCs w:val="20"/>
                <w:color w:val="auto"/>
              </w:rPr>
            </w:pPr>
            <w:r>
              <w:rPr>
                <w:rFonts w:ascii="Arial" w:cs="Arial" w:eastAsia="Arial" w:hAnsi="Arial"/>
                <w:sz w:val="16"/>
                <w:szCs w:val="16"/>
                <w:color w:val="auto"/>
              </w:rPr>
              <w:t>Company common stockholders</w:t>
            </w: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10,142</w:t>
            </w: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459,378</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(6,736)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(14,773)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(53,090)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(67,267)</w:t>
            </w:r>
          </w:p>
        </w:tc>
        <w:tc>
          <w:tcPr>
            <w:tcW w:w="0" w:type="dxa"/>
            <w:vAlign w:val="bottom"/>
          </w:tcPr>
          <w:p>
            <w:pPr>
              <w:spacing w:after="0"/>
              <w:rPr>
                <w:sz w:val="1"/>
                <w:szCs w:val="1"/>
                <w:color w:val="auto"/>
              </w:rPr>
            </w:pPr>
          </w:p>
        </w:tc>
      </w:tr>
      <w:tr>
        <w:trPr>
          <w:trHeight w:val="251"/>
        </w:trPr>
        <w:tc>
          <w:tcPr>
            <w:tcW w:w="6300" w:type="dxa"/>
            <w:vAlign w:val="bottom"/>
          </w:tcPr>
          <w:p>
            <w:pPr>
              <w:ind w:left="280"/>
              <w:spacing w:after="0"/>
              <w:rPr>
                <w:sz w:val="20"/>
                <w:szCs w:val="20"/>
                <w:color w:val="auto"/>
              </w:rPr>
            </w:pPr>
            <w:r>
              <w:rPr>
                <w:rFonts w:ascii="Arial" w:cs="Arial" w:eastAsia="Arial" w:hAnsi="Arial"/>
                <w:sz w:val="16"/>
                <w:szCs w:val="16"/>
                <w:color w:val="auto"/>
              </w:rPr>
              <w:t>Undistributed (loss) earnings</w:t>
            </w:r>
          </w:p>
        </w:tc>
        <w:tc>
          <w:tcPr>
            <w:tcW w:w="260" w:type="dxa"/>
            <w:vAlign w:val="bottom"/>
          </w:tcPr>
          <w:p>
            <w:pPr>
              <w:spacing w:after="0"/>
              <w:rPr>
                <w:sz w:val="21"/>
                <w:szCs w:val="21"/>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(237,958)</w:t>
            </w:r>
          </w:p>
        </w:tc>
        <w:tc>
          <w:tcPr>
            <w:tcW w:w="320" w:type="dxa"/>
            <w:vAlign w:val="bottom"/>
          </w:tcPr>
          <w:p>
            <w:pPr>
              <w:spacing w:after="0"/>
              <w:rPr>
                <w:sz w:val="21"/>
                <w:szCs w:val="21"/>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(4,631)</w:t>
            </w:r>
          </w:p>
        </w:tc>
        <w:tc>
          <w:tcPr>
            <w:tcW w:w="300" w:type="dxa"/>
            <w:vAlign w:val="bottom"/>
          </w:tcPr>
          <w:p>
            <w:pPr>
              <w:spacing w:after="0"/>
              <w:rPr>
                <w:sz w:val="21"/>
                <w:szCs w:val="21"/>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(247,715)</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392,111</w:t>
            </w:r>
          </w:p>
        </w:tc>
        <w:tc>
          <w:tcPr>
            <w:tcW w:w="0" w:type="dxa"/>
            <w:vAlign w:val="bottom"/>
          </w:tcPr>
          <w:p>
            <w:pPr>
              <w:spacing w:after="0"/>
              <w:rPr>
                <w:sz w:val="1"/>
                <w:szCs w:val="1"/>
                <w:color w:val="auto"/>
              </w:rPr>
            </w:pPr>
          </w:p>
        </w:tc>
      </w:tr>
      <w:tr>
        <w:trPr>
          <w:trHeight w:val="290"/>
        </w:trPr>
        <w:tc>
          <w:tcPr>
            <w:tcW w:w="63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100.00%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100.00%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w:t>
            </w:r>
          </w:p>
        </w:tc>
        <w:tc>
          <w:tcPr>
            <w:tcW w:w="0" w:type="dxa"/>
            <w:vAlign w:val="bottom"/>
          </w:tcPr>
          <w:p>
            <w:pPr>
              <w:spacing w:after="0"/>
              <w:rPr>
                <w:sz w:val="1"/>
                <w:szCs w:val="1"/>
                <w:color w:val="auto"/>
              </w:rPr>
            </w:pPr>
          </w:p>
        </w:tc>
      </w:tr>
      <w:tr>
        <w:trPr>
          <w:trHeight w:val="244"/>
        </w:trPr>
        <w:tc>
          <w:tcPr>
            <w:tcW w:w="6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(237,958)</w:t>
            </w:r>
          </w:p>
        </w:tc>
        <w:tc>
          <w:tcPr>
            <w:tcW w:w="320" w:type="dxa"/>
            <w:vAlign w:val="bottom"/>
          </w:tcPr>
          <w:p>
            <w:pPr>
              <w:spacing w:after="0"/>
              <w:rPr>
                <w:sz w:val="21"/>
                <w:szCs w:val="21"/>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(4,631)</w:t>
            </w:r>
          </w:p>
        </w:tc>
        <w:tc>
          <w:tcPr>
            <w:tcW w:w="300" w:type="dxa"/>
            <w:vAlign w:val="bottom"/>
          </w:tcPr>
          <w:p>
            <w:pPr>
              <w:spacing w:after="0"/>
              <w:rPr>
                <w:sz w:val="21"/>
                <w:szCs w:val="21"/>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auto"/>
              </w:rPr>
              <w:t>(247,715)</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383,842</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Dividends-common stock outstanding</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6,621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14,462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52,180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66,021</w:t>
            </w:r>
          </w:p>
        </w:tc>
        <w:tc>
          <w:tcPr>
            <w:tcW w:w="0" w:type="dxa"/>
            <w:vAlign w:val="bottom"/>
          </w:tcPr>
          <w:p>
            <w:pPr>
              <w:spacing w:after="0"/>
              <w:rPr>
                <w:sz w:val="1"/>
                <w:szCs w:val="1"/>
                <w:color w:val="auto"/>
              </w:rPr>
            </w:pPr>
          </w:p>
        </w:tc>
      </w:tr>
      <w:tr>
        <w:trPr>
          <w:trHeight w:val="267"/>
        </w:trPr>
        <w:tc>
          <w:tcPr>
            <w:tcW w:w="6300" w:type="dxa"/>
            <w:vAlign w:val="bottom"/>
          </w:tcPr>
          <w:p>
            <w:pPr>
              <w:ind w:left="280"/>
              <w:spacing w:after="0"/>
              <w:rPr>
                <w:sz w:val="20"/>
                <w:szCs w:val="20"/>
                <w:color w:val="auto"/>
              </w:rPr>
            </w:pPr>
            <w:r>
              <w:rPr>
                <w:rFonts w:ascii="Arial" w:cs="Arial" w:eastAsia="Arial" w:hAnsi="Arial"/>
                <w:sz w:val="16"/>
                <w:szCs w:val="16"/>
                <w:color w:val="auto"/>
              </w:rPr>
              <w:t>Numerator for basic (loss)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(231,337)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9,831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(195,535)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449,863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diluted (loss)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(231,337)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9,831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(195,535)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449,899</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basic (loss) earnings per share:</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tcPr>
          <w:p>
            <w:pPr>
              <w:spacing w:after="0"/>
              <w:rPr>
                <w:sz w:val="23"/>
                <w:szCs w:val="23"/>
                <w:color w:val="auto"/>
              </w:rPr>
            </w:pPr>
          </w:p>
        </w:tc>
        <w:tc>
          <w:tcPr>
            <w:tcW w:w="1000" w:type="dxa"/>
            <w:vAlign w:val="bottom"/>
          </w:tcPr>
          <w:p>
            <w:pPr>
              <w:jc w:val="right"/>
              <w:ind w:right="161"/>
              <w:spacing w:after="0"/>
              <w:rPr>
                <w:sz w:val="20"/>
                <w:szCs w:val="20"/>
                <w:color w:val="auto"/>
              </w:rPr>
            </w:pPr>
            <w:r>
              <w:rPr>
                <w:rFonts w:ascii="Arial" w:cs="Arial" w:eastAsia="Arial" w:hAnsi="Arial"/>
                <w:sz w:val="16"/>
                <w:szCs w:val="16"/>
                <w:b w:val="1"/>
                <w:bCs w:val="1"/>
                <w:color w:val="auto"/>
              </w:rPr>
              <w:t>5,738</w:t>
            </w:r>
          </w:p>
        </w:tc>
        <w:tc>
          <w:tcPr>
            <w:tcW w:w="320" w:type="dxa"/>
            <w:vAlign w:val="bottom"/>
          </w:tcPr>
          <w:p>
            <w:pPr>
              <w:spacing w:after="0"/>
              <w:rPr>
                <w:sz w:val="23"/>
                <w:szCs w:val="23"/>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5,671</w:t>
            </w:r>
          </w:p>
        </w:tc>
        <w:tc>
          <w:tcPr>
            <w:tcW w:w="300" w:type="dxa"/>
            <w:vAlign w:val="bottom"/>
          </w:tcPr>
          <w:p>
            <w:pPr>
              <w:spacing w:after="0"/>
              <w:rPr>
                <w:sz w:val="23"/>
                <w:szCs w:val="23"/>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5,721</w:t>
            </w:r>
          </w:p>
        </w:tc>
        <w:tc>
          <w:tcPr>
            <w:tcW w:w="340" w:type="dxa"/>
            <w:vAlign w:val="bottom"/>
          </w:tcPr>
          <w:p>
            <w:pPr>
              <w:spacing w:after="0"/>
              <w:rPr>
                <w:sz w:val="23"/>
                <w:szCs w:val="23"/>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6,737</w:t>
            </w:r>
          </w:p>
        </w:tc>
        <w:tc>
          <w:tcPr>
            <w:tcW w:w="0" w:type="dxa"/>
            <w:vAlign w:val="bottom"/>
          </w:tcPr>
          <w:p>
            <w:pPr>
              <w:spacing w:after="0"/>
              <w:rPr>
                <w:sz w:val="1"/>
                <w:szCs w:val="1"/>
                <w:color w:val="auto"/>
              </w:rPr>
            </w:pPr>
          </w:p>
        </w:tc>
      </w:tr>
      <w:tr>
        <w:trPr>
          <w:trHeight w:val="283"/>
        </w:trPr>
        <w:tc>
          <w:tcPr>
            <w:tcW w:w="63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6"/>
                <w:szCs w:val="16"/>
                <w:color w:val="auto"/>
              </w:rPr>
              <w:t>Denominator for diluted (loss) earnings per share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5,738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5,696</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5,721</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Basic (loss) earnings per share from continuing operations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(40.32)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(34.18)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00" w:type="dxa"/>
            <w:vAlign w:val="bottom"/>
          </w:tcPr>
          <w:p>
            <w:pPr>
              <w:ind w:left="180"/>
              <w:spacing w:after="0"/>
              <w:rPr>
                <w:sz w:val="20"/>
                <w:szCs w:val="20"/>
                <w:color w:val="auto"/>
              </w:rPr>
            </w:pPr>
            <w:r>
              <w:rPr>
                <w:rFonts w:ascii="Arial" w:cs="Arial" w:eastAsia="Arial" w:hAnsi="Arial"/>
                <w:sz w:val="16"/>
                <w:szCs w:val="16"/>
                <w:b w:val="1"/>
                <w:bCs w:val="1"/>
                <w:color w:val="auto"/>
              </w:rPr>
              <w:t>Diluted (loss) earnings per share from continuing operations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(40.32)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(34.18)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20" w:right="100" w:hanging="412"/>
        <w:spacing w:after="0" w:line="239"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is 100% in the third quarter of 2015 and 2014 and first nine months of 2015 as participating securities are not contractually obligated to share in losses.</w:t>
      </w:r>
    </w:p>
    <w:p>
      <w:pPr>
        <w:spacing w:after="0" w:line="13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r>
      <w:tr>
        <w:trPr>
          <w:trHeight w:val="196"/>
        </w:trPr>
        <w:tc>
          <w:tcPr>
            <w:tcW w:w="6860" w:type="dxa"/>
            <w:vAlign w:val="bottom"/>
          </w:tcPr>
          <w:p>
            <w:pPr>
              <w:spacing w:after="0"/>
              <w:rPr>
                <w:sz w:val="17"/>
                <w:szCs w:val="17"/>
                <w:color w:val="auto"/>
              </w:rPr>
            </w:pPr>
          </w:p>
        </w:tc>
        <w:tc>
          <w:tcPr>
            <w:tcW w:w="188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22"/>
                <w:szCs w:val="22"/>
                <w:color w:val="auto"/>
              </w:rPr>
            </w:pP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1"/>
                <w:szCs w:val="21"/>
                <w:color w:val="auto"/>
              </w:rPr>
            </w:pPr>
          </w:p>
        </w:tc>
        <w:tc>
          <w:tcPr>
            <w:tcW w:w="1160" w:type="dxa"/>
            <w:vAlign w:val="bottom"/>
          </w:tcPr>
          <w:p>
            <w:pPr>
              <w:jc w:val="right"/>
              <w:ind w:right="882"/>
              <w:spacing w:after="0"/>
              <w:rPr>
                <w:sz w:val="20"/>
                <w:szCs w:val="20"/>
                <w:color w:val="auto"/>
              </w:rPr>
            </w:pPr>
            <w:r>
              <w:rPr>
                <w:rFonts w:ascii="Arial" w:cs="Arial" w:eastAsia="Arial" w:hAnsi="Arial"/>
                <w:sz w:val="16"/>
                <w:szCs w:val="16"/>
                <w:b w:val="1"/>
                <w:bCs w:val="1"/>
                <w:color w:val="auto"/>
              </w:rPr>
              <w:t>50</w:t>
            </w:r>
          </w:p>
        </w:tc>
        <w:tc>
          <w:tcPr>
            <w:tcW w:w="1100" w:type="dxa"/>
            <w:vAlign w:val="bottom"/>
          </w:tcPr>
          <w:p>
            <w:pPr>
              <w:jc w:val="right"/>
              <w:ind w:right="823"/>
              <w:spacing w:after="0"/>
              <w:rPr>
                <w:sz w:val="20"/>
                <w:szCs w:val="20"/>
                <w:color w:val="auto"/>
              </w:rPr>
            </w:pPr>
            <w:r>
              <w:rPr>
                <w:rFonts w:ascii="Arial" w:cs="Arial" w:eastAsia="Arial" w:hAnsi="Arial"/>
                <w:sz w:val="16"/>
                <w:szCs w:val="16"/>
                <w:color w:val="auto"/>
              </w:rPr>
              <w:t>61</w:t>
            </w:r>
          </w:p>
        </w:tc>
        <w:tc>
          <w:tcPr>
            <w:tcW w:w="1240" w:type="dxa"/>
            <w:vAlign w:val="bottom"/>
          </w:tcPr>
          <w:p>
            <w:pPr>
              <w:jc w:val="right"/>
              <w:ind w:right="943"/>
              <w:spacing w:after="0"/>
              <w:rPr>
                <w:sz w:val="20"/>
                <w:szCs w:val="20"/>
                <w:color w:val="auto"/>
              </w:rPr>
            </w:pPr>
            <w:r>
              <w:rPr>
                <w:rFonts w:ascii="Arial" w:cs="Arial" w:eastAsia="Arial" w:hAnsi="Arial"/>
                <w:sz w:val="16"/>
                <w:szCs w:val="16"/>
                <w:b w:val="1"/>
                <w:bCs w:val="1"/>
                <w:color w:val="auto"/>
              </w:rPr>
              <w:t>53</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7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720" w:type="dxa"/>
            <w:vAlign w:val="bottom"/>
          </w:tcPr>
          <w:p>
            <w:pPr>
              <w:spacing w:after="0"/>
              <w:rPr>
                <w:sz w:val="23"/>
                <w:szCs w:val="23"/>
                <w:color w:val="auto"/>
              </w:rPr>
            </w:pPr>
          </w:p>
        </w:tc>
        <w:tc>
          <w:tcPr>
            <w:tcW w:w="1160" w:type="dxa"/>
            <w:vAlign w:val="bottom"/>
          </w:tcPr>
          <w:p>
            <w:pPr>
              <w:jc w:val="right"/>
              <w:ind w:right="882"/>
              <w:spacing w:after="0"/>
              <w:rPr>
                <w:sz w:val="20"/>
                <w:szCs w:val="20"/>
                <w:color w:val="auto"/>
              </w:rPr>
            </w:pPr>
            <w:r>
              <w:rPr>
                <w:rFonts w:ascii="Arial" w:cs="Arial" w:eastAsia="Arial" w:hAnsi="Arial"/>
                <w:sz w:val="16"/>
                <w:szCs w:val="16"/>
                <w:b w:val="1"/>
                <w:bCs w:val="1"/>
                <w:color w:val="auto"/>
              </w:rPr>
              <w:t>49</w:t>
            </w:r>
          </w:p>
        </w:tc>
        <w:tc>
          <w:tcPr>
            <w:tcW w:w="110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43"/>
              <w:spacing w:after="0"/>
              <w:rPr>
                <w:sz w:val="20"/>
                <w:szCs w:val="20"/>
                <w:color w:val="auto"/>
              </w:rPr>
            </w:pPr>
            <w:r>
              <w:rPr>
                <w:rFonts w:ascii="Arial" w:cs="Arial" w:eastAsia="Arial" w:hAnsi="Arial"/>
                <w:sz w:val="16"/>
                <w:szCs w:val="16"/>
                <w:b w:val="1"/>
                <w:bCs w:val="1"/>
                <w:color w:val="auto"/>
              </w:rPr>
              <w:t>37</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6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diluted loss per share amounts for the three and nine months ended September 30, 2015 exclude the effects of 77,258 stock options outstanding as their inclusion would have been antidilutive. The diluted earnings per share amounts for the three and nine months ended September 30, 2014 exclude the effects of 5,000 stock options outstanding as their inclusion would have been antidilutive. The diluted loss per share amounts for the three and nine months ended September 30, 2015 exclude the effects of 5,050 restricted stock awards as their inclusion would have been antidilutive. The diluted earnings per share amounts for the three and nine months ended September 30, 2014 exclude the effects of 6,075 restricted stock awards, as their inclusion would have been antidilutive.</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the three and nine months ended September 30, 2015 the Company declared regular dividends totaling $1.15 and $9.10, respectively. In the three and nine months ended September 30, 2014, the Company declared regular dividends totaling $2.55 and $10.20,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Supplemental Executive Retirement Plan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(loss) income from discontinued operations, net of tax. The settlement gain on the spin-off of Cable ONE is included in the SERP liability distributed to Cable ONE (see Note 2).</w:t>
      </w:r>
    </w:p>
    <w:p>
      <w:pPr>
        <w:sectPr>
          <w:pgSz w:w="11900" w:h="16838" w:orient="portrait"/>
          <w:cols w:equalWidth="0" w:num="1">
            <w:col w:w="11420"/>
          </w:cols>
          <w:pgMar w:left="240" w:top="584"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84" w:right="239" w:bottom="1440" w:gutter="0" w:footer="0" w:header="0"/>
          <w:type w:val="continuous"/>
        </w:sectPr>
      </w:pPr>
    </w:p>
    <w:bookmarkStart w:id="21" w:name="page22"/>
    <w:bookmarkEnd w:id="21"/>
    <w:p>
      <w:pPr>
        <w:ind w:right="40"/>
        <w:spacing w:after="0" w:line="228" w:lineRule="auto"/>
        <w:rPr>
          <w:sz w:val="20"/>
          <w:szCs w:val="20"/>
          <w:color w:val="auto"/>
        </w:rPr>
      </w:pPr>
      <w:r>
        <w:rPr>
          <w:rFonts w:ascii="Arial" w:cs="Arial" w:eastAsia="Arial" w:hAnsi="Arial"/>
          <w:sz w:val="18"/>
          <w:szCs w:val="18"/>
          <w:b w:val="1"/>
          <w:bCs w:val="1"/>
          <w:color w:val="auto"/>
        </w:rPr>
        <w:t>KHE Campuses Sale</w:t>
      </w:r>
      <w:r>
        <w:rPr>
          <w:rFonts w:ascii="Arial" w:cs="Arial" w:eastAsia="Arial" w:hAnsi="Arial"/>
          <w:sz w:val="18"/>
          <w:szCs w:val="18"/>
          <w:color w:val="auto"/>
        </w:rPr>
        <w:t>. On September 3, 2015, the Company eliminated the accrual of pension benefits for almost all of the KHE Campus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(expense) income, net on the Condensed Consolidated Statement of Operations.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6,090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6,976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20,593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21,489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13,516</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12,894</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39,077</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38,870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(33,673)</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(29,877)</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(96,771)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(90,644)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79</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241</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(6,057)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(7,280)</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(6,057)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(21,599)</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18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(20,045)</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(17,204)</w:t>
            </w:r>
          </w:p>
        </w:tc>
        <w:tc>
          <w:tcPr>
            <w:tcW w:w="26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(42,917)</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(51,637)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Curtailment gains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(3,267)</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(3,267)</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Early retirement programs and special separation benefit expense</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3,734</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3,884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3,734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8,374</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(19,578)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(42,450)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2015, the net periodic benefit for the Company's pension plans, as reported above,</w:t>
      </w:r>
    </w:p>
    <w:p>
      <w:pPr>
        <w:spacing w:after="0" w:line="219" w:lineRule="auto"/>
        <w:rPr>
          <w:sz w:val="20"/>
          <w:szCs w:val="20"/>
          <w:color w:val="auto"/>
        </w:rPr>
      </w:pPr>
      <w:r>
        <w:rPr>
          <w:rFonts w:ascii="Arial" w:cs="Arial" w:eastAsia="Arial" w:hAnsi="Arial"/>
          <w:sz w:val="18"/>
          <w:szCs w:val="18"/>
          <w:color w:val="auto"/>
        </w:rPr>
        <w:t>includes benefits of $0.1 million and costs of $1.9 million, respectively, reported in discontinued operations. For the three and nine months</w:t>
      </w:r>
    </w:p>
    <w:p>
      <w:pPr>
        <w:spacing w:after="0" w:line="219" w:lineRule="auto"/>
        <w:rPr>
          <w:sz w:val="20"/>
          <w:szCs w:val="20"/>
          <w:color w:val="auto"/>
        </w:rPr>
      </w:pPr>
      <w:r>
        <w:rPr>
          <w:rFonts w:ascii="Arial" w:cs="Arial" w:eastAsia="Arial" w:hAnsi="Arial"/>
          <w:sz w:val="18"/>
          <w:szCs w:val="18"/>
          <w:color w:val="auto"/>
        </w:rPr>
        <w:t>ended September 30, 2014, the net periodic benefit for the Company's pension plans, as reported above, includes costs of $0.9 million and</w:t>
      </w:r>
    </w:p>
    <w:p>
      <w:pPr>
        <w:spacing w:after="0" w:line="219" w:lineRule="auto"/>
        <w:rPr>
          <w:sz w:val="20"/>
          <w:szCs w:val="20"/>
          <w:color w:val="auto"/>
        </w:rPr>
      </w:pPr>
      <w:r>
        <w:rPr>
          <w:rFonts w:ascii="Arial" w:cs="Arial" w:eastAsia="Arial" w:hAnsi="Arial"/>
          <w:sz w:val="18"/>
          <w:szCs w:val="18"/>
          <w:color w:val="auto"/>
        </w:rPr>
        <w:t>$2.8 million, respectively, reported in discontinued operations. The curtailment gain of $2.2 million related to the Cable spin-off is also included</w:t>
      </w:r>
    </w:p>
    <w:p>
      <w:pPr>
        <w:spacing w:after="0" w:line="219" w:lineRule="auto"/>
        <w:rPr>
          <w:sz w:val="20"/>
          <w:szCs w:val="20"/>
          <w:color w:val="auto"/>
        </w:rPr>
      </w:pPr>
      <w:r>
        <w:rPr>
          <w:rFonts w:ascii="Arial" w:cs="Arial" w:eastAsia="Arial" w:hAnsi="Arial"/>
          <w:sz w:val="18"/>
          <w:szCs w:val="18"/>
          <w:color w:val="auto"/>
        </w:rPr>
        <w:t>in discontinued operations for the three and nine months ended September 30, 2015. The curtailment gain of $1.1 million related to the sale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KHE Campuses business is included in Other (expense) income, net.</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third quarter of 2015, the Company recorded $3.7 million related to a Separation Incentive Program for certain Kaplan employees, which is being funded from the assets of the Company's pension plan. In the first quarter of 2014, the Company recorded $4.5 million related to a Separation Incentive Program for certain Corporate employees, which is being funded from the assets of the Company's pension plan. In the third quarter of 2014, the Company recorded $3.9 million related to a Voluntary Retirement Incentive Program (VRIP) for certain Corporate employees, which is being funded from the assets of the Company's pension plan.</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464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373</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1,482</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1,140</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1,086</w:t>
            </w:r>
          </w:p>
        </w:tc>
        <w:tc>
          <w:tcPr>
            <w:tcW w:w="30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3,410</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115</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343</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374</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2,385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1,124</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2,349</w:t>
            </w:r>
          </w:p>
        </w:tc>
        <w:tc>
          <w:tcPr>
            <w:tcW w:w="4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1,845</w:t>
            </w:r>
          </w:p>
        </w:tc>
        <w:tc>
          <w:tcPr>
            <w:tcW w:w="30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7,620</w:t>
            </w:r>
          </w:p>
        </w:tc>
        <w:tc>
          <w:tcPr>
            <w:tcW w:w="4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5,535</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2,422</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2,422</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2,349</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4,267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7,620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7,957</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For the nine months ended September 30, 2015, the net periodic cost for the Company's SERP, as reported above, includes costs of $0.2 million reported in discontinued operations. For the three and nine months ended September 30, 2014, the net periodic cost for the Company's SERP, as reported above, includes costs of $0.1 million and $0.4 million, respectively, reported in discontinued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62" w:right="239" w:bottom="1440" w:gutter="0" w:footer="0" w:header="0"/>
        </w:sectPr>
      </w:pPr>
    </w:p>
    <w:bookmarkStart w:id="22" w:name="page23"/>
    <w:bookmarkEnd w:id="22"/>
    <w:p>
      <w:pPr>
        <w:jc w:val="both"/>
        <w:ind w:right="4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463"/>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2014</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54%</w:t>
            </w: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33%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September 30, 2015, the managers can invest no more than 24% of the assets in specified international exchanges, at the time the investment is made, and no less than 10% of the assets could be invested in fixed-income securities. None of the assets is managed internally by the Company.</w:t>
      </w:r>
    </w:p>
    <w:p>
      <w:pPr>
        <w:spacing w:after="0" w:line="136"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w:t>
      </w:r>
    </w:p>
    <w:p>
      <w:pPr>
        <w:spacing w:after="0" w:line="219" w:lineRule="auto"/>
        <w:rPr>
          <w:sz w:val="20"/>
          <w:szCs w:val="20"/>
          <w:color w:val="auto"/>
        </w:rPr>
      </w:pPr>
      <w:r>
        <w:rPr>
          <w:rFonts w:ascii="Arial" w:cs="Arial" w:eastAsia="Arial" w:hAnsi="Arial"/>
          <w:sz w:val="18"/>
          <w:szCs w:val="18"/>
          <w:color w:val="auto"/>
        </w:rPr>
        <w:t>10% of plan assets) of credit risk as of September 30, 2015. Types of concentrations that were evaluated include, but are not limited to,</w:t>
      </w:r>
    </w:p>
    <w:p>
      <w:pPr>
        <w:spacing w:after="0" w:line="219"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September 30, 2015, the pension plan held</w:t>
      </w:r>
    </w:p>
    <w:p>
      <w:pPr>
        <w:spacing w:after="0" w:line="219" w:lineRule="auto"/>
        <w:rPr>
          <w:sz w:val="20"/>
          <w:szCs w:val="20"/>
          <w:color w:val="auto"/>
        </w:rPr>
      </w:pPr>
      <w:r>
        <w:rPr>
          <w:rFonts w:ascii="Arial" w:cs="Arial" w:eastAsia="Arial" w:hAnsi="Arial"/>
          <w:sz w:val="18"/>
          <w:szCs w:val="18"/>
          <w:color w:val="auto"/>
        </w:rPr>
        <w:t>common stock in one investment that exceeded 10% of total plan assets, valued at $580.6 million, or 24% of total plan assets. At</w:t>
      </w:r>
    </w:p>
    <w:p>
      <w:pPr>
        <w:spacing w:after="0" w:line="219" w:lineRule="auto"/>
        <w:rPr>
          <w:sz w:val="20"/>
          <w:szCs w:val="20"/>
          <w:color w:val="auto"/>
        </w:rPr>
      </w:pPr>
      <w:r>
        <w:rPr>
          <w:rFonts w:ascii="Arial" w:cs="Arial" w:eastAsia="Arial" w:hAnsi="Arial"/>
          <w:sz w:val="18"/>
          <w:szCs w:val="18"/>
          <w:color w:val="auto"/>
        </w:rPr>
        <w:t>December 31, 2014, the pension plan held common stock in two investments that exceeded 10% of total plan assets, valued at $730.6 million,</w:t>
      </w:r>
    </w:p>
    <w:p>
      <w:pPr>
        <w:spacing w:after="0" w:line="220" w:lineRule="auto"/>
        <w:rPr>
          <w:sz w:val="20"/>
          <w:szCs w:val="20"/>
          <w:color w:val="auto"/>
        </w:rPr>
      </w:pPr>
      <w:r>
        <w:rPr>
          <w:rFonts w:ascii="Arial" w:cs="Arial" w:eastAsia="Arial" w:hAnsi="Arial"/>
          <w:sz w:val="18"/>
          <w:szCs w:val="18"/>
          <w:color w:val="auto"/>
        </w:rPr>
        <w:t>or 30% of total plan assets. At September 30, 2015 and December 31, 2014, the pension plan held investments in one foreign country that</w:t>
      </w:r>
    </w:p>
    <w:p>
      <w:pPr>
        <w:spacing w:after="0" w:line="219" w:lineRule="auto"/>
        <w:rPr>
          <w:sz w:val="20"/>
          <w:szCs w:val="20"/>
          <w:color w:val="auto"/>
        </w:rPr>
      </w:pPr>
      <w:r>
        <w:rPr>
          <w:rFonts w:ascii="Arial" w:cs="Arial" w:eastAsia="Arial" w:hAnsi="Arial"/>
          <w:sz w:val="18"/>
          <w:szCs w:val="18"/>
          <w:color w:val="auto"/>
        </w:rPr>
        <w:t>exceeded 10% of total plan assets. These investments were valued at $582.0 million and $468.0 million at September 30, 2015 and</w:t>
      </w:r>
    </w:p>
    <w:p>
      <w:pPr>
        <w:spacing w:after="0"/>
        <w:rPr>
          <w:sz w:val="20"/>
          <w:szCs w:val="20"/>
          <w:color w:val="auto"/>
        </w:rPr>
      </w:pPr>
      <w:r>
        <w:rPr>
          <w:rFonts w:ascii="Arial" w:cs="Arial" w:eastAsia="Arial" w:hAnsi="Arial"/>
          <w:sz w:val="18"/>
          <w:szCs w:val="18"/>
          <w:color w:val="auto"/>
        </w:rPr>
        <w:t>December 31, 2014, respectively, or approximately 24% and 19%, respectively, of total plan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333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999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b w:val="1"/>
                <w:bCs w:val="1"/>
                <w:color w:val="auto"/>
              </w:rPr>
              <w:t>325</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362</w:t>
            </w:r>
          </w:p>
        </w:tc>
        <w:tc>
          <w:tcPr>
            <w:tcW w:w="260" w:type="dxa"/>
            <w:vAlign w:val="bottom"/>
          </w:tcPr>
          <w:p>
            <w:pPr>
              <w:spacing w:after="0"/>
              <w:rPr>
                <w:sz w:val="23"/>
                <w:szCs w:val="23"/>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rPr>
              <w:t>974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1,086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(126)</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26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(377)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(249)</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849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6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OTHER NON-OPERATING (EXPENSE)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Net losses on sales of businesses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(26,253)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(23,335)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loss, net</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(12,972)</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(10,564)</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(16,191)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(2,618)</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formation of joint venture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5,972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Additional gain on sale of Classified Ventures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4,827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266,733</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127,670</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Losses on sales or write-down of marketable equity securities</w:t>
            </w:r>
          </w:p>
        </w:tc>
        <w:tc>
          <w:tcPr>
            <w:tcW w:w="3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(1,233)</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(1,158)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1,923</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(40,458)</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(29,885)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390,664</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 the third quarter of 2015, Kaplan sold the KHEC Campuses business, and Franklyn Scholar, which was part of Kaplan International, for a loss of $26.3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2014 and the related interim periods, based on its consideration of quantitative and qualitative factors.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6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780" w:type="dxa"/>
            <w:vAlign w:val="bottom"/>
          </w:tcPr>
          <w:p>
            <w:pPr>
              <w:jc w:val="center"/>
              <w:ind w:left="88"/>
              <w:spacing w:after="0"/>
              <w:rPr>
                <w:sz w:val="20"/>
                <w:szCs w:val="20"/>
                <w:color w:val="auto"/>
              </w:rPr>
            </w:pPr>
            <w:r>
              <w:rPr>
                <w:rFonts w:ascii="Arial" w:cs="Arial" w:eastAsia="Arial" w:hAnsi="Arial"/>
                <w:sz w:val="14"/>
                <w:szCs w:val="14"/>
                <w:b w:val="1"/>
                <w:bCs w:val="1"/>
                <w:color w:val="auto"/>
              </w:rPr>
              <w:t>Income</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After-Tax</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w w:val="98"/>
              </w:rPr>
              <w:t>Before-Tax</w:t>
            </w:r>
          </w:p>
        </w:tc>
        <w:tc>
          <w:tcPr>
            <w:tcW w:w="780" w:type="dxa"/>
            <w:vAlign w:val="bottom"/>
          </w:tcPr>
          <w:p>
            <w:pPr>
              <w:jc w:val="center"/>
              <w:ind w:right="16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Tax</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w w:val="99"/>
              </w:rPr>
              <w:t>Amount</w:t>
            </w:r>
          </w:p>
        </w:tc>
        <w:tc>
          <w:tcPr>
            <w:tcW w:w="780" w:type="dxa"/>
            <w:vAlign w:val="bottom"/>
          </w:tcPr>
          <w:p>
            <w:pPr>
              <w:jc w:val="center"/>
              <w:ind w:right="16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56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(10,548)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(10,548)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(9,777)</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6,026</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6,026</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(4,522)</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(4,522)</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(9,777)</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(9,777)</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3,836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(1,535)</w:t>
            </w:r>
          </w:p>
        </w:tc>
        <w:tc>
          <w:tcPr>
            <w:tcW w:w="26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2,301</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9,734</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(3,894)</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5,840</w:t>
            </w:r>
          </w:p>
        </w:tc>
      </w:tr>
      <w:tr>
        <w:trPr>
          <w:trHeight w:val="783"/>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68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6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41</w:t>
            </w: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(5,676)</w:t>
            </w:r>
          </w:p>
        </w:tc>
        <w:tc>
          <w:tcPr>
            <w:tcW w:w="24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2,271</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(3,405)</w:t>
            </w: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(7,425)</w:t>
            </w:r>
          </w:p>
        </w:tc>
        <w:tc>
          <w:tcPr>
            <w:tcW w:w="28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2,970</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(4,455)</w:t>
            </w:r>
          </w:p>
        </w:tc>
      </w:tr>
      <w:tr>
        <w:trPr>
          <w:trHeight w:val="270"/>
        </w:trPr>
        <w:tc>
          <w:tcPr>
            <w:tcW w:w="2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30</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1,403</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842</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(4,154)</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1,662</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(2,492)</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(7,526)</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3,011</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w:t>
            </w:r>
          </w:p>
        </w:tc>
      </w:tr>
      <w:tr>
        <w:trPr>
          <w:trHeight w:val="5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(4,713)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5000" w:space="160"/>
            <w:col w:w="6260"/>
          </w:cols>
          <w:pgMar w:left="240" w:top="56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800" w:type="dxa"/>
            <w:vAlign w:val="bottom"/>
          </w:tcPr>
          <w:p>
            <w:pPr>
              <w:jc w:val="center"/>
              <w:ind w:left="68"/>
              <w:spacing w:after="0"/>
              <w:rPr>
                <w:sz w:val="20"/>
                <w:szCs w:val="20"/>
                <w:color w:val="auto"/>
              </w:rPr>
            </w:pPr>
            <w:r>
              <w:rPr>
                <w:rFonts w:ascii="Arial" w:cs="Arial" w:eastAsia="Arial" w:hAnsi="Arial"/>
                <w:sz w:val="14"/>
                <w:szCs w:val="14"/>
                <w:b w:val="1"/>
                <w:bCs w:val="1"/>
                <w:color w:val="auto"/>
              </w:rPr>
              <w:t>Income</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rPr>
              <w:t>After-Tax</w:t>
            </w:r>
          </w:p>
        </w:tc>
        <w:tc>
          <w:tcPr>
            <w:tcW w:w="1340" w:type="dxa"/>
            <w:vAlign w:val="bottom"/>
          </w:tcPr>
          <w:p>
            <w:pPr>
              <w:jc w:val="center"/>
              <w:ind w:right="148"/>
              <w:spacing w:after="0"/>
              <w:rPr>
                <w:sz w:val="20"/>
                <w:szCs w:val="20"/>
                <w:color w:val="auto"/>
              </w:rPr>
            </w:pPr>
            <w:r>
              <w:rPr>
                <w:rFonts w:ascii="Arial" w:cs="Arial" w:eastAsia="Arial" w:hAnsi="Arial"/>
                <w:sz w:val="14"/>
                <w:szCs w:val="14"/>
                <w:color w:val="auto"/>
                <w:w w:val="98"/>
              </w:rPr>
              <w:t>Before-Tax</w:t>
            </w:r>
          </w:p>
        </w:tc>
        <w:tc>
          <w:tcPr>
            <w:tcW w:w="800" w:type="dxa"/>
            <w:vAlign w:val="bottom"/>
          </w:tcPr>
          <w:p>
            <w:pPr>
              <w:jc w:val="center"/>
              <w:ind w:right="14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Tax</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rPr>
              <w:t>Amount</w:t>
            </w:r>
          </w:p>
        </w:tc>
        <w:tc>
          <w:tcPr>
            <w:tcW w:w="134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0" w:type="dxa"/>
            <w:vAlign w:val="bottom"/>
          </w:tcPr>
          <w:p>
            <w:pPr>
              <w:jc w:val="center"/>
              <w:ind w:right="14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56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(losses)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(losses) gains for the period, net</w:t>
      </w:r>
    </w:p>
    <w:p>
      <w:pPr>
        <w:spacing w:after="0" w:line="59" w:lineRule="exact"/>
        <w:rPr>
          <w:sz w:val="20"/>
          <w:szCs w:val="20"/>
          <w:color w:val="auto"/>
        </w:rPr>
      </w:pPr>
    </w:p>
    <w:p>
      <w:pPr>
        <w:ind w:left="340" w:right="380" w:hanging="161"/>
        <w:spacing w:after="0" w:line="253"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gains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 and settlement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(17,387)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(17,387)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(7,111)</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5,501</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5,501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(11,886)</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(11,886)</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(7,111)</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(7,111)</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(16,497)</w:t>
            </w:r>
          </w:p>
        </w:tc>
        <w:tc>
          <w:tcPr>
            <w:tcW w:w="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6,599</w:t>
            </w:r>
          </w:p>
        </w:tc>
        <w:tc>
          <w:tcPr>
            <w:tcW w:w="2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(9,898)</w:t>
            </w:r>
          </w:p>
        </w:tc>
        <w:tc>
          <w:tcPr>
            <w:tcW w:w="26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46,139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(18,456)</w:t>
            </w:r>
          </w:p>
        </w:tc>
        <w:tc>
          <w:tcPr>
            <w:tcW w:w="2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27,683</w:t>
            </w:r>
          </w:p>
        </w:tc>
      </w:tr>
      <w:tr>
        <w:trPr>
          <w:trHeight w:val="6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(265,274)</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106,110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(16,497)</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6,599</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(9,898)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(219,135)</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87,654</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(131,481)</w:t>
            </w:r>
          </w:p>
        </w:tc>
      </w:tr>
      <w:tr>
        <w:trPr>
          <w:trHeight w:val="521"/>
        </w:trPr>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207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26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125</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22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70"/>
        </w:trPr>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(4,419)</w:t>
            </w:r>
          </w:p>
        </w:tc>
        <w:tc>
          <w:tcPr>
            <w:tcW w:w="260" w:type="dxa"/>
            <w:vAlign w:val="bottom"/>
          </w:tcPr>
          <w:p>
            <w:pPr>
              <w:spacing w:after="0"/>
              <w:rPr>
                <w:sz w:val="23"/>
                <w:szCs w:val="23"/>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1,768</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(2,651)</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(22,032)</w:t>
            </w:r>
          </w:p>
        </w:tc>
        <w:tc>
          <w:tcPr>
            <w:tcW w:w="22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8,813</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(13,219)</w:t>
            </w:r>
          </w:p>
        </w:tc>
      </w:tr>
      <w:tr>
        <w:trPr>
          <w:trHeight w:val="270"/>
        </w:trPr>
        <w:tc>
          <w:tcPr>
            <w:tcW w:w="2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51</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30</w:t>
            </w:r>
          </w:p>
        </w:tc>
        <w:tc>
          <w:tcPr>
            <w:tcW w:w="2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1,403</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842</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(2,758)</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1,104</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(1,654)</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(22,337)</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8,935</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(13,402)</w:t>
            </w:r>
          </w:p>
        </w:tc>
      </w:tr>
      <w:tr>
        <w:trPr>
          <w:trHeight w:val="534"/>
        </w:trPr>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179</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(30,962)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7,632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(23,330)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96,333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(151,609)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00" w:space="160"/>
            <w:col w:w="6260"/>
          </w:cols>
          <w:pgMar w:left="240" w:top="562" w:right="2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6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The accumulated balances related to each component of other comprehensive (loss)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63"/>
              <w:spacing w:after="0"/>
              <w:rPr>
                <w:sz w:val="20"/>
                <w:szCs w:val="20"/>
                <w:color w:val="auto"/>
              </w:rPr>
            </w:pPr>
            <w:r>
              <w:rPr>
                <w:rFonts w:ascii="Arial" w:cs="Arial" w:eastAsia="Arial" w:hAnsi="Arial"/>
                <w:sz w:val="14"/>
                <w:szCs w:val="14"/>
                <w:b w:val="1"/>
                <w:bCs w:val="1"/>
                <w:color w:val="auto"/>
              </w:rPr>
              <w:t>Cumulative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8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Adjustment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8,548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392,910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453,480</w:t>
            </w:r>
          </w:p>
        </w:tc>
      </w:tr>
      <w:tr>
        <w:trPr>
          <w:trHeight w:val="218"/>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58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200" w:type="dxa"/>
            <w:vAlign w:val="bottom"/>
          </w:tcPr>
          <w:p>
            <w:pPr>
              <w:spacing w:after="0"/>
              <w:rPr>
                <w:sz w:val="18"/>
                <w:szCs w:val="18"/>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b w:val="1"/>
                <w:bCs w:val="1"/>
                <w:color w:val="auto"/>
              </w:rPr>
              <w:t>(17,387)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(9,898)</w:t>
            </w:r>
          </w:p>
        </w:tc>
        <w:tc>
          <w:tcPr>
            <w:tcW w:w="22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842</w:t>
            </w:r>
          </w:p>
        </w:tc>
        <w:tc>
          <w:tcPr>
            <w:tcW w:w="24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(26,414)</w:t>
            </w:r>
          </w:p>
        </w:tc>
      </w:tr>
      <w:tr>
        <w:trPr>
          <w:trHeight w:val="218"/>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58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5,501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(2,496)</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3,084</w:t>
            </w:r>
          </w:p>
        </w:tc>
      </w:tr>
      <w:tr>
        <w:trPr>
          <w:trHeight w:val="264"/>
        </w:trPr>
        <w:tc>
          <w:tcPr>
            <w:tcW w:w="45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net of tax</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(11,886)</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(9,898)</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(1,654)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w:t>
            </w:r>
          </w:p>
        </w:tc>
      </w:tr>
      <w:tr>
        <w:trPr>
          <w:trHeight w:val="267"/>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(3,338)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42,232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391,256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430,150</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(Loss) Income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8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6,026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5,501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tcPr>
          <w:p>
            <w:pPr>
              <w:ind w:left="180"/>
              <w:spacing w:after="0"/>
              <w:rPr>
                <w:sz w:val="20"/>
                <w:szCs w:val="20"/>
                <w:color w:val="auto"/>
              </w:rPr>
            </w:pPr>
            <w:r>
              <w:rPr>
                <w:rFonts w:ascii="Arial" w:cs="Arial" w:eastAsia="Arial" w:hAnsi="Arial"/>
                <w:sz w:val="16"/>
                <w:szCs w:val="16"/>
                <w:color w:val="auto"/>
              </w:rPr>
              <w:t>Realized gain for the period</w:t>
            </w:r>
          </w:p>
        </w:tc>
        <w:tc>
          <w:tcPr>
            <w:tcW w:w="20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(265,274)</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106,110</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w:t>
            </w:r>
          </w:p>
        </w:tc>
        <w:tc>
          <w:tcPr>
            <w:tcW w:w="200" w:type="dxa"/>
            <w:vAlign w:val="bottom"/>
          </w:tcPr>
          <w:p>
            <w:pPr>
              <w:spacing w:after="0"/>
              <w:rPr>
                <w:sz w:val="23"/>
                <w:szCs w:val="23"/>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68</w:t>
            </w:r>
          </w:p>
        </w:tc>
        <w:tc>
          <w:tcPr>
            <w:tcW w:w="3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3"/>
                <w:szCs w:val="23"/>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207</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00" w:type="dxa"/>
            <w:vAlign w:val="bottom"/>
          </w:tcPr>
          <w:p>
            <w:pPr>
              <w:spacing w:after="0"/>
              <w:rPr>
                <w:sz w:val="23"/>
                <w:szCs w:val="23"/>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(5,676)</w:t>
            </w:r>
          </w:p>
        </w:tc>
        <w:tc>
          <w:tcPr>
            <w:tcW w:w="30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(7,425)</w:t>
            </w:r>
          </w:p>
        </w:tc>
        <w:tc>
          <w:tcPr>
            <w:tcW w:w="26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(4,419)</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(22,032)</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3"/>
        </w:trPr>
        <w:tc>
          <w:tcPr>
            <w:tcW w:w="4700" w:type="dxa"/>
            <w:vAlign w:val="bottom"/>
          </w:tcPr>
          <w:p>
            <w:pPr>
              <w:ind w:left="180"/>
              <w:spacing w:after="0"/>
              <w:rPr>
                <w:sz w:val="20"/>
                <w:szCs w:val="20"/>
                <w:color w:val="auto"/>
              </w:rPr>
            </w:pPr>
            <w:r>
              <w:rPr>
                <w:rFonts w:ascii="Arial" w:cs="Arial" w:eastAsia="Arial" w:hAnsi="Arial"/>
                <w:sz w:val="16"/>
                <w:szCs w:val="16"/>
                <w:color w:val="auto"/>
              </w:rPr>
              <w:t>Curtailment gains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(5,557)</w:t>
            </w:r>
          </w:p>
        </w:tc>
        <w:tc>
          <w:tcPr>
            <w:tcW w:w="30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(7,526)</w:t>
            </w:r>
          </w:p>
        </w:tc>
        <w:tc>
          <w:tcPr>
            <w:tcW w:w="26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(4,161)</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(22,337)</w:t>
            </w:r>
          </w:p>
        </w:tc>
        <w:tc>
          <w:tcPr>
            <w:tcW w:w="25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2,223</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3,011</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1,665</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8,935</w:t>
            </w:r>
          </w:p>
        </w:tc>
        <w:tc>
          <w:tcPr>
            <w:tcW w:w="2500" w:type="dxa"/>
            <w:vAlign w:val="bottom"/>
          </w:tcPr>
          <w:p>
            <w:pPr>
              <w:ind w:left="140"/>
              <w:spacing w:after="0"/>
              <w:rPr>
                <w:sz w:val="20"/>
                <w:szCs w:val="20"/>
                <w:color w:val="auto"/>
              </w:rPr>
            </w:pPr>
            <w:r>
              <w:rPr>
                <w:rFonts w:ascii="Arial" w:cs="Arial" w:eastAsia="Arial" w:hAnsi="Arial"/>
                <w:sz w:val="14"/>
                <w:szCs w:val="14"/>
                <w:color w:val="auto"/>
              </w:rPr>
              <w:t>(Benefit) Provision for Income Taxes</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(3,334)</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(4,515)</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(2,496)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(13,402)</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24"/>
                <w:szCs w:val="24"/>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132</w:t>
            </w:r>
          </w:p>
        </w:tc>
        <w:tc>
          <w:tcPr>
            <w:tcW w:w="28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645</w:t>
            </w:r>
          </w:p>
        </w:tc>
        <w:tc>
          <w:tcPr>
            <w:tcW w:w="25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2500" w:type="dxa"/>
            <w:vAlign w:val="bottom"/>
          </w:tcPr>
          <w:p>
            <w:pPr>
              <w:ind w:left="140"/>
              <w:spacing w:after="0"/>
              <w:rPr>
                <w:sz w:val="20"/>
                <w:szCs w:val="20"/>
                <w:color w:val="auto"/>
              </w:rPr>
            </w:pPr>
            <w:r>
              <w:rPr>
                <w:rFonts w:ascii="Arial" w:cs="Arial" w:eastAsia="Arial" w:hAnsi="Arial"/>
                <w:sz w:val="14"/>
                <w:szCs w:val="14"/>
                <w:color w:val="auto"/>
              </w:rPr>
              <w:t>(Benefit) Provision for Income Taxes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130</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2,692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(172,179)</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20" w:right="240" w:hanging="412"/>
        <w:spacing w:after="0" w:line="233"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Benefits of $1.2 million were recorded in Provision for Income Taxes related to the realized loss for the nine months ended September 30, 2014. The remaining $107.3 million for the nine months ended September 30, 2014, relates to the reversal of income taxes previously recorded on the unrealized gain of the Company’s investment in Berkshire Hathaway Inc. marketable equity securities as part of the Berkshire exchange transaction (see Note 4).</w:t>
      </w:r>
    </w:p>
    <w:p>
      <w:pPr>
        <w:spacing w:after="0" w:line="30" w:lineRule="exact"/>
        <w:rPr>
          <w:rFonts w:ascii="Arial" w:cs="Arial" w:eastAsia="Arial" w:hAnsi="Arial"/>
          <w:sz w:val="14"/>
          <w:szCs w:val="14"/>
          <w:color w:val="auto"/>
        </w:rPr>
      </w:pPr>
    </w:p>
    <w:p>
      <w:pPr>
        <w:ind w:left="420" w:hanging="412"/>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ectPr>
          <w:pgSz w:w="11900" w:h="16838" w:orient="portrait"/>
          <w:cols w:equalWidth="0" w:num="1">
            <w:col w:w="11420"/>
          </w:cols>
          <w:pgMar w:left="240" w:top="584"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84" w:right="239" w:bottom="1440" w:gutter="0" w:footer="0" w:header="0"/>
          <w:type w:val="continuous"/>
        </w:sectPr>
      </w:pPr>
    </w:p>
    <w:bookmarkStart w:id="26" w:name="page27"/>
    <w:bookmarkEnd w:id="26"/>
    <w:p>
      <w:pPr>
        <w:spacing w:after="0" w:line="222"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Court. Arguments on both appeals were heard on February 3, 2015. On March 11, 2015, the court issued a decision affirming the lower court's dismissal of all of Gillespie's claims and three of the four Diaz claims but reversing and remanding on one remaining claim. In September 2015, Diaz filed an amended complaint and Kaplan filed a motion to dismiss.</w:t>
      </w:r>
    </w:p>
    <w:p>
      <w:pPr>
        <w:spacing w:after="0" w:line="138"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has moved for summary judgment, which the court granted on March 9, 2015; the plaintiff filed a notice of appeal in the second quarter of 2015.</w:t>
      </w:r>
    </w:p>
    <w:p>
      <w:pPr>
        <w:spacing w:after="0" w:line="11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has undertaken program reviews at various KHE locations. Currently,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five open program reviews, four of which are at campuses that were part of the KHE Campuses business, including the ED’s final reports on the program reviews at KHE’s Broomall, PA, and Pittsburgh, PA, locations. Kaplan retains responsibility for any financial obligation resulting from the ED program reviews at the KHE Campuses business.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ED conducted a program review at Kaplan University in the first quarter of 2015, covering all aspects of Kaplan University's financial aid systems and on the standards for determining student attendance in online programs. A failure to properly determine student attendance under the federal Title IV rules could result in a failure to refund the proper amount of Title IV aid to the ED when a student withdraws from the program.</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While there can be no guarantee that these measures will be adequate to prevent the 90/10 ratio at some of the schools from exceeding 90% in the future, management currently estimates that each of KHE's continuing operations campuses will be 90/10 compliant in 2015.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has five reportable segments: Kaplan Higher Education, Kaplan Test Preparation, Kaplan International, television broadcasting and other businesses.</w:t>
      </w:r>
    </w:p>
    <w:p>
      <w:pPr>
        <w:spacing w:after="0" w:line="1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color w:val="auto"/>
        </w:rPr>
        <w:t xml:space="preserve">Cable. </w:t>
      </w:r>
      <w:r>
        <w:rPr>
          <w:rFonts w:ascii="Arial" w:cs="Arial" w:eastAsia="Arial" w:hAnsi="Arial"/>
          <w:sz w:val="18"/>
          <w:szCs w:val="18"/>
          <w:color w:val="auto"/>
        </w:rPr>
        <w:t>Due to the spin-off of Cable ONE on July 1, 2015, the cable division is no longer included as a separate segment as its results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reclassified to discontinued operations, net of tax, for all periods presented.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2015 quarterly financial information related to each of the Company’s business segments: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March 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June 30,</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500,602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523,625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481,746</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83,564</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90,753</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89,693</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63,259</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66,512</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70,052</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83"/>
        </w:trPr>
        <w:tc>
          <w:tcPr>
            <w:tcW w:w="70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647,425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680,890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641,432</w:t>
            </w:r>
          </w:p>
        </w:tc>
        <w:tc>
          <w:tcPr>
            <w:tcW w:w="0" w:type="dxa"/>
            <w:vAlign w:val="bottom"/>
          </w:tcPr>
          <w:p>
            <w:pPr>
              <w:spacing w:after="0"/>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(22,849)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15,848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(242,777)</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38,562</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42,014</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40,526</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(5,162)</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(2,161)</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(3,059)</w:t>
            </w:r>
          </w:p>
        </w:tc>
        <w:tc>
          <w:tcPr>
            <w:tcW w:w="0" w:type="dxa"/>
            <w:vAlign w:val="bottom"/>
          </w:tcPr>
          <w:p>
            <w:pPr>
              <w:spacing w:after="0"/>
              <w:rPr>
                <w:sz w:val="1"/>
                <w:szCs w:val="1"/>
                <w:color w:val="auto"/>
              </w:rPr>
            </w:pPr>
          </w:p>
        </w:tc>
      </w:tr>
      <w:tr>
        <w:trPr>
          <w:trHeight w:val="283"/>
        </w:trPr>
        <w:tc>
          <w:tcPr>
            <w:tcW w:w="70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(1,689)</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524</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(8,413)</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8,862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56,225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(213,723)</w:t>
            </w:r>
          </w:p>
        </w:tc>
        <w:tc>
          <w:tcPr>
            <w:tcW w:w="0" w:type="dxa"/>
            <w:vAlign w:val="bottom"/>
          </w:tcPr>
          <w:p>
            <w:pPr>
              <w:spacing w:after="0"/>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6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(7,942)</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(8,025)</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(7,349)</w:t>
            </w:r>
          </w:p>
        </w:tc>
        <w:tc>
          <w:tcPr>
            <w:tcW w:w="0" w:type="dxa"/>
            <w:vAlign w:val="bottom"/>
          </w:tcPr>
          <w:p>
            <w:pPr>
              <w:spacing w:after="0"/>
              <w:rPr>
                <w:sz w:val="1"/>
                <w:szCs w:val="1"/>
                <w:color w:val="auto"/>
              </w:rPr>
            </w:pPr>
          </w:p>
        </w:tc>
      </w:tr>
      <w:tr>
        <w:trPr>
          <w:trHeight w:val="283"/>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(1,105)</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11,678</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(40,458)</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(261,435)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18,528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21,980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10,637</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2,109</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2,125</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2,237</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1,302</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1,254</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1,335</w:t>
            </w:r>
          </w:p>
        </w:tc>
        <w:tc>
          <w:tcPr>
            <w:tcW w:w="0" w:type="dxa"/>
            <w:vAlign w:val="bottom"/>
          </w:tcPr>
          <w:p>
            <w:pPr>
              <w:spacing w:after="0"/>
              <w:rPr>
                <w:sz w:val="1"/>
                <w:szCs w:val="1"/>
                <w:color w:val="auto"/>
              </w:rPr>
            </w:pPr>
          </w:p>
        </w:tc>
      </w:tr>
      <w:tr>
        <w:trPr>
          <w:trHeight w:val="283"/>
        </w:trPr>
        <w:tc>
          <w:tcPr>
            <w:tcW w:w="70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22,197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25,609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14,460</w:t>
            </w:r>
          </w:p>
        </w:tc>
        <w:tc>
          <w:tcPr>
            <w:tcW w:w="0" w:type="dxa"/>
            <w:vAlign w:val="bottom"/>
          </w:tcPr>
          <w:p>
            <w:pPr>
              <w:spacing w:after="0"/>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1,507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8,343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249,930</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63</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3,168</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3,117</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3,110</w:t>
            </w:r>
          </w:p>
        </w:tc>
        <w:tc>
          <w:tcPr>
            <w:tcW w:w="0" w:type="dxa"/>
            <w:vAlign w:val="bottom"/>
          </w:tcPr>
          <w:p>
            <w:pPr>
              <w:spacing w:after="0"/>
              <w:rPr>
                <w:sz w:val="1"/>
                <w:szCs w:val="1"/>
                <w:color w:val="auto"/>
              </w:rPr>
            </w:pPr>
          </w:p>
        </w:tc>
      </w:tr>
      <w:tr>
        <w:trPr>
          <w:trHeight w:val="283"/>
        </w:trPr>
        <w:tc>
          <w:tcPr>
            <w:tcW w:w="70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4,738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11,523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253,103</w:t>
            </w:r>
          </w:p>
        </w:tc>
        <w:tc>
          <w:tcPr>
            <w:tcW w:w="0" w:type="dxa"/>
            <w:vAlign w:val="bottom"/>
          </w:tcPr>
          <w:p>
            <w:pPr>
              <w:spacing w:after="0"/>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3,947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3,947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7,525</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391</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425</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193</w:t>
            </w:r>
          </w:p>
        </w:tc>
        <w:tc>
          <w:tcPr>
            <w:tcW w:w="320" w:type="dxa"/>
            <w:vAlign w:val="bottom"/>
          </w:tcPr>
          <w:p>
            <w:pPr>
              <w:spacing w:after="0"/>
              <w:rPr>
                <w:sz w:val="23"/>
                <w:szCs w:val="23"/>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b w:val="1"/>
                <w:bCs w:val="1"/>
                <w:color w:val="auto"/>
              </w:rPr>
              <w:t>328</w:t>
            </w:r>
          </w:p>
        </w:tc>
        <w:tc>
          <w:tcPr>
            <w:tcW w:w="0" w:type="dxa"/>
            <w:vAlign w:val="bottom"/>
          </w:tcPr>
          <w:p>
            <w:pPr>
              <w:spacing w:after="0"/>
              <w:rPr>
                <w:sz w:val="1"/>
                <w:szCs w:val="1"/>
                <w:color w:val="auto"/>
              </w:rPr>
            </w:pPr>
          </w:p>
        </w:tc>
      </w:tr>
      <w:tr>
        <w:trPr>
          <w:trHeight w:val="283"/>
        </w:trPr>
        <w:tc>
          <w:tcPr>
            <w:tcW w:w="70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(16,938)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(16,939)</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(24,533)</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8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62" w:right="239" w:bottom="80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summarizes the 2014 quarterly financial information related to each of the Company’s business 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14"/>
                <w:szCs w:val="14"/>
                <w:color w:val="auto"/>
              </w:rPr>
            </w:pPr>
          </w:p>
        </w:tc>
        <w:tc>
          <w:tcPr>
            <w:tcW w:w="1040" w:type="dxa"/>
            <w:vAlign w:val="bottom"/>
          </w:tcPr>
          <w:p>
            <w:pPr>
              <w:jc w:val="right"/>
              <w:ind w:right="300"/>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522,154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542,964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543,918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551,381</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85,651</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88,297</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87,442</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102,446</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24,913</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42,351</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71,845</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73,798</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8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632,620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673,582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703,205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727,625</w:t>
            </w:r>
          </w:p>
        </w:tc>
        <w:tc>
          <w:tcPr>
            <w:tcW w:w="0" w:type="dxa"/>
            <w:vAlign w:val="bottom"/>
          </w:tcPr>
          <w:p>
            <w:pPr>
              <w:spacing w:after="0"/>
              <w:rPr>
                <w:sz w:val="1"/>
                <w:szCs w:val="1"/>
                <w:color w:val="auto"/>
              </w:rPr>
            </w:pPr>
          </w:p>
        </w:tc>
      </w:tr>
      <w:tr>
        <w:trPr>
          <w:trHeight w:val="251"/>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1,862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17,637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12,551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33,413</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44,386</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44,088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44,979</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54,380</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(10,747)</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(6,995)</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(9,292)</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83"/>
        </w:trPr>
        <w:tc>
          <w:tcPr>
            <w:tcW w:w="5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2,206</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(7,029)</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37,707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54,780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41,209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99,024</w:t>
            </w:r>
          </w:p>
        </w:tc>
        <w:tc>
          <w:tcPr>
            <w:tcW w:w="0" w:type="dxa"/>
            <w:vAlign w:val="bottom"/>
          </w:tcPr>
          <w:p>
            <w:pPr>
              <w:spacing w:after="0"/>
              <w:rPr>
                <w:sz w:val="1"/>
                <w:szCs w:val="1"/>
                <w:color w:val="auto"/>
              </w:rPr>
            </w:pPr>
          </w:p>
        </w:tc>
      </w:tr>
      <w:tr>
        <w:trPr>
          <w:trHeight w:val="251"/>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2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4,052</w:t>
            </w:r>
          </w:p>
        </w:tc>
        <w:tc>
          <w:tcPr>
            <w:tcW w:w="30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91,503</w:t>
            </w:r>
          </w:p>
        </w:tc>
        <w:tc>
          <w:tcPr>
            <w:tcW w:w="24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4,613</w:t>
            </w:r>
          </w:p>
        </w:tc>
        <w:tc>
          <w:tcPr>
            <w:tcW w:w="24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(8,189)</w:t>
            </w:r>
          </w:p>
        </w:tc>
        <w:tc>
          <w:tcPr>
            <w:tcW w:w="3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(7,884)</w:t>
            </w:r>
          </w:p>
        </w:tc>
        <w:tc>
          <w:tcPr>
            <w:tcW w:w="24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(8,769)</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(8,555)</w:t>
            </w:r>
          </w:p>
        </w:tc>
        <w:tc>
          <w:tcPr>
            <w:tcW w:w="0" w:type="dxa"/>
            <w:vAlign w:val="bottom"/>
          </w:tcPr>
          <w:p>
            <w:pPr>
              <w:spacing w:after="0"/>
              <w:rPr>
                <w:sz w:val="1"/>
                <w:szCs w:val="1"/>
                <w:color w:val="auto"/>
              </w:rPr>
            </w:pPr>
          </w:p>
        </w:tc>
      </w:tr>
      <w:tr>
        <w:trPr>
          <w:trHeight w:val="283"/>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Other Expense, Net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133,273</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268,114</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(10,723)</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387,346</w:t>
            </w:r>
          </w:p>
        </w:tc>
        <w:tc>
          <w:tcPr>
            <w:tcW w:w="0" w:type="dxa"/>
            <w:vAlign w:val="bottom"/>
          </w:tcPr>
          <w:p>
            <w:pPr>
              <w:spacing w:after="0"/>
              <w:rPr>
                <w:sz w:val="1"/>
                <w:szCs w:val="1"/>
                <w:color w:val="auto"/>
              </w:rPr>
            </w:pPr>
          </w:p>
        </w:tc>
      </w:tr>
      <w:tr>
        <w:trPr>
          <w:trHeight w:val="264"/>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166,843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406,513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26,330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478,017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16,416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15,372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15,237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14,713</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1,994</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2,039</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2,148</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520</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1,201</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83"/>
        </w:trPr>
        <w:tc>
          <w:tcPr>
            <w:tcW w:w="5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19,430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18,201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18,664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18,618</w:t>
            </w:r>
          </w:p>
        </w:tc>
        <w:tc>
          <w:tcPr>
            <w:tcW w:w="0" w:type="dxa"/>
            <w:vAlign w:val="bottom"/>
          </w:tcPr>
          <w:p>
            <w:pPr>
              <w:spacing w:after="0"/>
              <w:rPr>
                <w:sz w:val="1"/>
                <w:szCs w:val="1"/>
                <w:color w:val="auto"/>
              </w:rPr>
            </w:pPr>
          </w:p>
        </w:tc>
      </w:tr>
      <w:tr>
        <w:trPr>
          <w:trHeight w:val="184"/>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Intangibles and Other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1,924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1,798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1,927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19,292</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758</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1,138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5,427</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83"/>
        </w:trPr>
        <w:tc>
          <w:tcPr>
            <w:tcW w:w="5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7,354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22,517</w:t>
            </w:r>
          </w:p>
        </w:tc>
        <w:tc>
          <w:tcPr>
            <w:tcW w:w="0" w:type="dxa"/>
            <w:vAlign w:val="bottom"/>
          </w:tcPr>
          <w:p>
            <w:pPr>
              <w:spacing w:after="0"/>
              <w:rPr>
                <w:sz w:val="1"/>
                <w:szCs w:val="1"/>
                <w:color w:val="auto"/>
              </w:rPr>
            </w:pPr>
          </w:p>
        </w:tc>
      </w:tr>
      <w:tr>
        <w:trPr>
          <w:trHeight w:val="251"/>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4,143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3,566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3,854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3,855</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320</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358</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338</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70"/>
        </w:trPr>
        <w:tc>
          <w:tcPr>
            <w:tcW w:w="58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202</w:t>
            </w:r>
          </w:p>
        </w:tc>
        <w:tc>
          <w:tcPr>
            <w:tcW w:w="240" w:type="dxa"/>
            <w:vAlign w:val="bottom"/>
          </w:tcPr>
          <w:p>
            <w:pPr>
              <w:spacing w:after="0"/>
              <w:rPr>
                <w:sz w:val="23"/>
                <w:szCs w:val="23"/>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191</w:t>
            </w:r>
          </w:p>
        </w:tc>
        <w:tc>
          <w:tcPr>
            <w:tcW w:w="24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83"/>
        </w:trPr>
        <w:tc>
          <w:tcPr>
            <w:tcW w:w="58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(17,679)</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(22,933)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(18,620)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w:t>
            </w: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8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1,505,973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1,609,036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2,160,417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2,163,734</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264,010</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261,390</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363,836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308,306</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199,823</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139,109</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212,907</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128,803</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8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1,969,747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2,009,407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2,737,032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2,600,602</w:t>
            </w: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(Loss) Income from Operations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(249,778)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32,050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65,463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50,989</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121,102</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133,452</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187,833</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145,192</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(10,382)</w:t>
            </w:r>
          </w:p>
        </w:tc>
        <w:tc>
          <w:tcPr>
            <w:tcW w:w="3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(27,034)</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(21,086)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(23,468)</w:t>
            </w:r>
          </w:p>
        </w:tc>
        <w:tc>
          <w:tcPr>
            <w:tcW w:w="0" w:type="dxa"/>
            <w:vAlign w:val="bottom"/>
          </w:tcPr>
          <w:p>
            <w:pPr>
              <w:spacing w:after="0"/>
              <w:rPr>
                <w:sz w:val="1"/>
                <w:szCs w:val="1"/>
                <w:color w:val="auto"/>
              </w:rPr>
            </w:pPr>
          </w:p>
        </w:tc>
      </w:tr>
      <w:tr>
        <w:trPr>
          <w:trHeight w:val="283"/>
        </w:trPr>
        <w:tc>
          <w:tcPr>
            <w:tcW w:w="58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(9,578)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(4,773)</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(23,279)</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(148,636)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133,695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232,720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149,434</w:t>
            </w: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16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(662)</w:t>
            </w:r>
          </w:p>
        </w:tc>
        <w:tc>
          <w:tcPr>
            <w:tcW w:w="34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100,168</w:t>
            </w:r>
          </w:p>
        </w:tc>
        <w:tc>
          <w:tcPr>
            <w:tcW w:w="380" w:type="dxa"/>
            <w:vAlign w:val="bottom"/>
          </w:tcPr>
          <w:p>
            <w:pPr>
              <w:spacing w:after="0"/>
              <w:rPr>
                <w:sz w:val="21"/>
                <w:szCs w:val="21"/>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100,370</w:t>
            </w:r>
          </w:p>
        </w:tc>
        <w:tc>
          <w:tcPr>
            <w:tcW w:w="4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13,215</w:t>
            </w: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16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(23,316)</w:t>
            </w:r>
          </w:p>
        </w:tc>
        <w:tc>
          <w:tcPr>
            <w:tcW w:w="3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(24,841)</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(33,397)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(33,667)</w:t>
            </w:r>
          </w:p>
        </w:tc>
        <w:tc>
          <w:tcPr>
            <w:tcW w:w="0" w:type="dxa"/>
            <w:vAlign w:val="bottom"/>
          </w:tcPr>
          <w:p>
            <w:pPr>
              <w:spacing w:after="0"/>
              <w:rPr>
                <w:sz w:val="1"/>
                <w:szCs w:val="1"/>
                <w:color w:val="auto"/>
              </w:rPr>
            </w:pPr>
          </w:p>
        </w:tc>
      </w:tr>
      <w:tr>
        <w:trPr>
          <w:trHeight w:val="283"/>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(29,885)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390,664</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778,010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(23,751)</w:t>
            </w: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(202,499)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599,686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1,077,703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105,231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51,145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47,024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61,737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89,622</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6,471</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6,181</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8,409</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8,746</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3,891</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2,501</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3,931</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83"/>
        </w:trPr>
        <w:tc>
          <w:tcPr>
            <w:tcW w:w="58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836</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62,266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56,295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74,913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101,171</w:t>
            </w:r>
          </w:p>
        </w:tc>
        <w:tc>
          <w:tcPr>
            <w:tcW w:w="0" w:type="dxa"/>
            <w:vAlign w:val="bottom"/>
          </w:tcPr>
          <w:p>
            <w:pPr>
              <w:spacing w:after="0"/>
              <w:rPr>
                <w:sz w:val="1"/>
                <w:szCs w:val="1"/>
                <w:color w:val="auto"/>
              </w:rPr>
            </w:pPr>
          </w:p>
        </w:tc>
      </w:tr>
      <w:tr>
        <w:trPr>
          <w:trHeight w:val="184"/>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b w:val="1"/>
                <w:bCs w:val="1"/>
                <w:color w:val="auto"/>
              </w:rPr>
              <w:t>Long-lived 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259,780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5,649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24,941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11,753</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189</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9,395</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7,323</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10,516</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83"/>
        </w:trPr>
        <w:tc>
          <w:tcPr>
            <w:tcW w:w="58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269,364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12,972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35,489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15,169</w:t>
            </w: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15,419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11,563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15,418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16,538</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1,207</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1,016</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1,355</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707</w:t>
            </w:r>
          </w:p>
        </w:tc>
        <w:tc>
          <w:tcPr>
            <w:tcW w:w="34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557</w:t>
            </w:r>
          </w:p>
        </w:tc>
        <w:tc>
          <w:tcPr>
            <w:tcW w:w="3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748</w:t>
            </w:r>
          </w:p>
        </w:tc>
        <w:tc>
          <w:tcPr>
            <w:tcW w:w="4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83"/>
        </w:trPr>
        <w:tc>
          <w:tcPr>
            <w:tcW w:w="58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(58,410)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(59,231)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(41,836)</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(41,077)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(46,095)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2014</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1,249,359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1,781,543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309,232</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305,426</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472,272</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518,807</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938,195</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1,778,391</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2,969,058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4,384,167</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18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312,892</w:t>
            </w:r>
          </w:p>
        </w:tc>
        <w:tc>
          <w:tcPr>
            <w:tcW w:w="28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193,793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53,198</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19,811</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1,189,181</w:t>
            </w:r>
          </w:p>
        </w:tc>
        <w:tc>
          <w:tcPr>
            <w:tcW w:w="28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1,152,488</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 Held for Sale</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2,060</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4,524,329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5,752,319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84" w:right="2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203,529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249,882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681,814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755,597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83,706</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85,108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233,313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234,010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192,702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207,615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585,486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615,507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1,905</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1,492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5,723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4,891</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481,746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543,918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1,505,973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1,609,036</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3,153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5,391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28,510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39,487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13,620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6,980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16,365</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8,295</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13,853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33,585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40,609</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(267,882)</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(13,651)</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(328,333)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(44,608)</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(242,777)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12,551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(249,778)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32,050</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4,066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7,320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13,688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2,052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2,865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7,205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9,721</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4,277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4,951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14,004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14,546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16,248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10,637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15,237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51,145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47,024</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1,927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4,313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5,649</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248,591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255,467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3,964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2,628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9,028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7,885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775</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2,325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114</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326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2,672</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3,740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1,245</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7,525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15,419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11,563</w:t>
            </w: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227,406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749,421</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147,998</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167,055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180" w:type="dxa"/>
            <w:vAlign w:val="bottom"/>
          </w:tcPr>
          <w:p>
            <w:pPr>
              <w:spacing w:after="0"/>
              <w:rPr>
                <w:sz w:val="23"/>
                <w:szCs w:val="23"/>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811,672</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838,148</w:t>
            </w:r>
          </w:p>
        </w:tc>
      </w:tr>
      <w:tr>
        <w:trPr>
          <w:trHeight w:val="283"/>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62,283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26,919</w:t>
            </w:r>
          </w:p>
        </w:tc>
      </w:tr>
      <w:tr>
        <w:trPr>
          <w:trHeight w:val="264"/>
        </w:trPr>
        <w:tc>
          <w:tcPr>
            <w:tcW w:w="8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1,249,359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1,781,543</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69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reported a loss from continuing operations attributable to common shares of $231.2 million ($40.32 per share) for the third quarter of 2015, compared to income of $ 10.1 million ($1.73 per share) for the third quarter of 2014. Net loss attributable to common shares was $230.8 million ($40.25 per share) for the third quarter ended September 30, 2015, compared to income of $76.4 million ($ 13.12 per share) for the third quarter of last year. Net (loss) income includes $0.4 million ($0.07 per share) and $66.2 million ($11.39 per share) in income from discontinued operations for the third quarter of 2015 and 2014, respectively. (Refer to “Discontinued Operations” discussion below.)</w:t>
      </w:r>
    </w:p>
    <w:p>
      <w:pPr>
        <w:spacing w:after="0" w:line="13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As a result of continued declines in student enrollments at Kaplan Higher Education (KHE) and the challenging industry operating environment, Kaplan completed an interim impairment review of KHE's goodwill in the third quarter of 2015 that resulted in a preliminary $248.6 million goodwill impairment charge. Due to the complexity and effort required to estimate the fair value of KHE, the Company derived the fair value estimate based on preliminary assumptions and analysis that are subject to change. Any adjustment to the estimated impairment charge will be recorded in the fourth quarter of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third quarter of 2015 are listed below:</w:t>
      </w:r>
    </w:p>
    <w:p>
      <w:pPr>
        <w:spacing w:after="0" w:line="144"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$248.6 million preliminary goodwill impairment charge related to the KHE business (after-tax impact of $217.1 million, or $37.85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$9.5 million in restructuring charges at the education division (after-tax impact of $5.8 million, or $1.00 per share);</w:t>
      </w:r>
    </w:p>
    <w:p>
      <w:pPr>
        <w:spacing w:after="0" w:line="14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$1.99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$26.3 million in net non-operating losses arising from the sales of two businesses (after-tax impact of $24.3 million, or $4.16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$13.0 million in non-operating unrealized foreign currency losses (after-tax impact of $8.0 million, or $1.37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2014 are listed below:</w:t>
      </w:r>
    </w:p>
    <w:p>
      <w:pPr>
        <w:spacing w:after="0" w:line="144" w:lineRule="exact"/>
        <w:rPr>
          <w:sz w:val="20"/>
          <w:szCs w:val="20"/>
          <w:color w:val="auto"/>
        </w:rPr>
      </w:pPr>
    </w:p>
    <w:p>
      <w:pPr>
        <w:ind w:left="180" w:right="280" w:hanging="172"/>
        <w:spacing w:after="0" w:line="235"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$13.6 million in restructuring charges at the education division and early retirement program expense and related charges at the corporate office (after-tax impact of $8.7 million, or $1.50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$10.6 million in non-operating unrealized foreign currency losses (after-tax impact of $6.8 million, or $1.16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third quarter of 2015 was $ 641.4 million, down 9% from $703.2 million in the third quarter of 2014. Revenues declined at the education division and in other businesses, offset by an increase at the television broadcasting division. The Company reported an operating loss of $213.7 million for the third quarter of 2015, compared to operating income of $41.2 million for the third quarter of 2014. Operating results were down at the education and television broadcasting divisions, offset by improvement in other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2015, the Company reported a loss from continuing operations attributable to common shares of $194.6 million</w:t>
      </w:r>
    </w:p>
    <w:p>
      <w:pPr>
        <w:ind w:right="100"/>
        <w:spacing w:after="0" w:line="227" w:lineRule="auto"/>
        <w:rPr>
          <w:sz w:val="20"/>
          <w:szCs w:val="20"/>
          <w:color w:val="auto"/>
        </w:rPr>
      </w:pPr>
      <w:r>
        <w:rPr>
          <w:rFonts w:ascii="Arial" w:cs="Arial" w:eastAsia="Arial" w:hAnsi="Arial"/>
          <w:sz w:val="18"/>
          <w:szCs w:val="18"/>
          <w:color w:val="auto"/>
        </w:rPr>
        <w:t>($34.18 per share), compared to income of $459.4 million ($66.52 per share) for the first nine months of 2014. Net loss attributable to common shares was $152.5 million ($26.19 per share) for the first nine months of 2015, compared to income of $958.6 million ($138.79 per share) for the same period of 2014. Net (loss) income includes $42.2 million ($7.99 per share) and $ 499.2 million ($72.27 per share) in income from discontinued operations for the first nine months of 2015 and 2014, respectively. (Refer to “Discontinued Operations” discussion below.)</w:t>
      </w:r>
    </w:p>
    <w:p>
      <w:pPr>
        <w:spacing w:after="0" w:line="135"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15% fewer diluted shares outstanding in the first nine months of 2015, versus the same period in 2014.</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6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Items included in the Company’s loss from continuing operations for the first nine months of 2015 are listed below:</w:t>
      </w:r>
    </w:p>
    <w:p>
      <w:pPr>
        <w:spacing w:after="0" w:line="144" w:lineRule="exact"/>
        <w:rPr>
          <w:sz w:val="20"/>
          <w:szCs w:val="20"/>
          <w:color w:val="auto"/>
        </w:rPr>
      </w:pPr>
    </w:p>
    <w:p>
      <w:pPr>
        <w:ind w:left="180" w:right="180" w:hanging="172"/>
        <w:spacing w:after="0" w:line="23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$255.5 million preliminary goodwill and long-lived asset impairment charges related to the KHE business (after-tax impact of $221.5 million, or $38.57 per share);</w:t>
      </w:r>
    </w:p>
    <w:p>
      <w:pPr>
        <w:spacing w:after="0" w:line="134"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$36.8 million in restructuring charges and accelerated depreciation at the education division (after-tax impact of $23.3 million, or $4.01 per share);</w:t>
      </w:r>
    </w:p>
    <w:p>
      <w:pPr>
        <w:spacing w:after="0" w:line="134"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$18.8 million in expense related to the modification of stock options awards related to the cable spin-off (after-tax impact of $11.6 million, or $2.00 per share);</w:t>
      </w:r>
    </w:p>
    <w:p>
      <w:pPr>
        <w:spacing w:after="0" w:line="134"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$16.2 million in non-operating unrealized foreign currency losses (after-tax impact of $10.1 million, or $1.73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2014 are listed below:</w:t>
      </w:r>
    </w:p>
    <w:p>
      <w:pPr>
        <w:spacing w:after="0" w:line="144" w:lineRule="exact"/>
        <w:rPr>
          <w:sz w:val="20"/>
          <w:szCs w:val="20"/>
          <w:color w:val="auto"/>
        </w:rPr>
      </w:pPr>
    </w:p>
    <w:p>
      <w:pPr>
        <w:ind w:right="580" w:firstLine="8"/>
        <w:spacing w:after="0" w:line="235" w:lineRule="auto"/>
        <w:tabs>
          <w:tab w:leader="none" w:pos="1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$28.6 million in early retirement program expense, restructuring charges and software asset write-offs at the education division and the corporate office (after-tax impact of $18.3 million, or $2.65 per share);</w:t>
      </w:r>
    </w:p>
    <w:p>
      <w:pPr>
        <w:spacing w:after="0" w:line="13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$8.43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$38.61 per share);</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$11.85 per share); and</w:t>
      </w:r>
    </w:p>
    <w:p>
      <w:pPr>
        <w:spacing w:after="0" w:line="144"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 million in non-operating unrealized foreign currency losses (after-tax impact of $1.7 million, or $0.24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first nine months of 2015 was $ 1,969.7 million, down 2% from $2,009.4 million in the first nine months of 2014. Revenues were down at the education division, but increased in other businesses and at the television broadcasting division. The Company reported an operating loss of $148.6 million for the first nine months of 2015, compared to operating income of $133.7 million for the first nine months of 2014. Operating results declined at the education and television broadcasting divisions, but improved in other businesses.</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are included in discontinued operations, net of tax, for all periods presented.</w:t>
      </w:r>
    </w:p>
    <w:p>
      <w:pPr>
        <w:spacing w:after="0" w:line="135"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On February 12, 2015, Kaplan entered into a Purchase and Sale Agreement with Education Corporation of America (ECA) to sell substantially all of the assets of its KHE Campuses business, consisting of thirty-eight nationally accredited ground campuses, and certain related assets, in exchange for a preferred equity interest in ECA. The transaction closed on September 3, 2015.</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first nine months of 2014 includes a $266.7 million gain from the exchange of the Berkshire Hathaway shares, and income from discontinued operations for the first nine months of 2014 includes a $375.0 million gain from the WPLG exchange.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Education division revenue totaled $481.7 million for the third quarter of 2015, down 11% from revenue of $543.9 million for the same period of 2014. Kaplan reported an operating loss of $242.8 million for the third quarter of 2015, compared to operating income of $12.6 million for the third quarter of 2014. Operating results for the third quarter of 2015 include a preliminary $248.6 million goodwill impairment charge related to Kaplan Higher Education (KHE). Operating results for the third quarter of 2015 and 2014 also include restructuring costs of $9.5 million and $3.3 million, respectively.</w:t>
      </w:r>
    </w:p>
    <w:p>
      <w:pPr>
        <w:spacing w:after="0" w:line="13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For the first nine months of 2015, education division revenue totaled $1,506.0 million, down 6% from revenue of $ 1,609.0 million for the same period of 2014. Kaplan reported an operating loss of $ 249.8 million for the first nine months of 2015, compared to operating income of $32.1 million for the first nine months of 2014. The operating results for the first nine months of 2015 include preliminary $255.5 million in goodwill and other long-lived asset impairment charges related to KHE. Restructuring costs totaled $36.8 million and $13.8 million for the first nine months of 2015 and 2014,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2015 compared to 2014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2014</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203,529</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249,882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681,814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755,597</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83,706</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85,108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233,313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234,010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192,702</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207,615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585,486</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615,507</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1,905</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1,492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5,723</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4,891</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(96)</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(363)</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481,746</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543,918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1,505,973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1,609,036</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3,153</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5,391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28,510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39,487</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13,620</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6,980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16,365</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(3,552)</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8,295</w:t>
            </w:r>
          </w:p>
        </w:tc>
        <w:tc>
          <w:tcPr>
            <w:tcW w:w="52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13,853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33,585</w:t>
            </w:r>
          </w:p>
        </w:tc>
        <w:tc>
          <w:tcPr>
            <w:tcW w:w="3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40,609</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(17,952)</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(11,724)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(68,553)</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(38,959)</w:t>
            </w:r>
          </w:p>
        </w:tc>
        <w:tc>
          <w:tcPr>
            <w:tcW w:w="1380" w:type="dxa"/>
            <w:vAlign w:val="bottom"/>
          </w:tcPr>
          <w:p>
            <w:pPr>
              <w:jc w:val="right"/>
              <w:ind w:right="3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32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(1,339)</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(4,313)</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(5,649)</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8"/>
        </w:trPr>
        <w:tc>
          <w:tcPr>
            <w:tcW w:w="3260" w:type="dxa"/>
            <w:vAlign w:val="bottom"/>
          </w:tcPr>
          <w:p>
            <w:pPr>
              <w:ind w:left="280"/>
              <w:spacing w:after="0"/>
              <w:rPr>
                <w:sz w:val="20"/>
                <w:szCs w:val="20"/>
                <w:color w:val="auto"/>
              </w:rPr>
            </w:pPr>
            <w:r>
              <w:rPr>
                <w:rFonts w:ascii="Arial" w:cs="Arial" w:eastAsia="Arial" w:hAnsi="Arial"/>
                <w:sz w:val="16"/>
                <w:szCs w:val="16"/>
                <w:color w:val="auto"/>
              </w:rPr>
              <w:t>Impairment of goodwill and other long-</w:t>
            </w:r>
          </w:p>
        </w:tc>
        <w:tc>
          <w:tcPr>
            <w:tcW w:w="300" w:type="dxa"/>
            <w:vAlign w:val="bottom"/>
          </w:tcPr>
          <w:p>
            <w:pPr>
              <w:spacing w:after="0"/>
              <w:rPr>
                <w:sz w:val="20"/>
                <w:szCs w:val="20"/>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(255,467)</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440"/>
              <w:spacing w:after="0"/>
              <w:rPr>
                <w:sz w:val="20"/>
                <w:szCs w:val="20"/>
                <w:color w:val="auto"/>
              </w:rPr>
            </w:pPr>
            <w:r>
              <w:rPr>
                <w:rFonts w:ascii="Arial" w:cs="Arial" w:eastAsia="Arial" w:hAnsi="Arial"/>
                <w:sz w:val="16"/>
                <w:szCs w:val="16"/>
                <w:color w:val="auto"/>
              </w:rPr>
              <w:t>lived assets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2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95</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6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(242,777)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12,551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(249,778)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32,050</w:t>
            </w:r>
          </w:p>
        </w:tc>
        <w:tc>
          <w:tcPr>
            <w:tcW w:w="13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Since 2012, KHE has continued to close campuses, consolidate facilities and reduce its workforce. On September 3, 2015, Kaplan completed the sale of substantially all of the remaining assets of its KHE Campuses business. In connection with these and other plans, KHE</w:t>
      </w:r>
    </w:p>
    <w:p>
      <w:pPr>
        <w:ind w:right="60"/>
        <w:spacing w:after="0" w:line="223" w:lineRule="auto"/>
        <w:rPr>
          <w:sz w:val="20"/>
          <w:szCs w:val="20"/>
          <w:color w:val="auto"/>
        </w:rPr>
      </w:pPr>
      <w:r>
        <w:rPr>
          <w:rFonts w:ascii="Arial" w:cs="Arial" w:eastAsia="Arial" w:hAnsi="Arial"/>
          <w:sz w:val="18"/>
          <w:szCs w:val="18"/>
          <w:color w:val="auto"/>
        </w:rPr>
        <w:t>incurred $3.8 million and $9.2 million in restructuring costs for the third quarter and first nine months of 2015, respectively, and $2.0 million and $4.5 million in restructuring costs in the third quarter and first nine months of 2014. For the third quarter of 2015, these costs included severance ($3.1 million, $1.7 million of which will be funded from the assets of the Company's pension plan), lease obligation losses ($0.5 million) and accelerated depreciation ($ 0.2 million). For the first nine months of 2015, these costs included severance ($5.3 million, $1.7 million of which will be funded from the assets of the Company's pension plan), lease obligation losses ($2.3 million), accelerated depreciation ($1.5 million) and other items ($0.1 million). For the third quarter of 2014, these costs included severance ($1.0 million), accelerated depreciation ($0.9 million) and other items ($0.1 million). For the first nine months of 2014, these costs included severance ($3.0 million), accelerated depreciation ($1.2 million), lease obligation losses ($0.1 million) and other items ($0.2 million).</w:t>
      </w:r>
    </w:p>
    <w:p>
      <w:pPr>
        <w:spacing w:after="0" w:line="13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preliminary $248.6 million goodwill impairment charge. Any adjustment to the estimated impairment charge will be recorded in the fourth quarter of 2015. This goodwill impairment charge followed a $6.9 million long-lived asset impairment charge that was recorded in the second quarter of 2015 in connection with the KHE Campuses business.</w:t>
      </w:r>
    </w:p>
    <w:p>
      <w:pPr>
        <w:sectPr>
          <w:pgSz w:w="11900" w:h="16838" w:orient="portrait"/>
          <w:cols w:equalWidth="0" w:num="1">
            <w:col w:w="11420"/>
          </w:cols>
          <w:pgMar w:left="240" w:top="562"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562" w:right="239" w:bottom="1440" w:gutter="0" w:footer="0" w:header="0"/>
          <w:type w:val="continuous"/>
        </w:sectPr>
      </w:pPr>
    </w:p>
    <w:bookmarkStart w:id="34" w:name="page35"/>
    <w:bookmarkEnd w:id="34"/>
    <w:p>
      <w:pPr>
        <w:ind w:right="400"/>
        <w:spacing w:after="0" w:line="235" w:lineRule="auto"/>
        <w:rPr>
          <w:sz w:val="20"/>
          <w:szCs w:val="20"/>
          <w:color w:val="auto"/>
        </w:rPr>
      </w:pPr>
      <w:r>
        <w:rPr>
          <w:rFonts w:ascii="Arial" w:cs="Arial" w:eastAsia="Arial" w:hAnsi="Arial"/>
          <w:sz w:val="18"/>
          <w:szCs w:val="18"/>
          <w:color w:val="auto"/>
        </w:rPr>
        <w:t>KHE results include revenue and operating losses related to all KHE Campuses, those sold to ECA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4"/>
              <w:spacing w:after="0"/>
              <w:rPr>
                <w:sz w:val="20"/>
                <w:szCs w:val="20"/>
                <w:color w:val="auto"/>
              </w:rPr>
            </w:pPr>
            <w:r>
              <w:rPr>
                <w:rFonts w:ascii="Arial" w:cs="Arial" w:eastAsia="Arial" w:hAnsi="Arial"/>
                <w:sz w:val="16"/>
                <w:szCs w:val="16"/>
                <w:b w:val="1"/>
                <w:bCs w:val="1"/>
                <w:color w:val="auto"/>
              </w:rPr>
              <w:t>45,341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72,960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176,800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227,198</w:t>
            </w:r>
          </w:p>
        </w:tc>
      </w:tr>
      <w:tr>
        <w:trPr>
          <w:trHeight w:val="270"/>
        </w:trPr>
        <w:tc>
          <w:tcPr>
            <w:tcW w:w="65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(14,745)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(7,333)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(33,808)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(25,635)</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In the third quarter and first nine months of 2015, KHE revenue declined 19% and 10%, respectively, due to campus sales and closings, and declines in average enrollments at Kaplan University, reflecting weaker market demand. KHE operating results declined in the third quarter of 2015 due to increased losses at the KHE Campuses business. KHE operating results were down in the first nine months of 2015 due to revenue declines, and increased restructuring costs , partially offset by improved results at the domestic professional and other continuing education businesses.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New higher education student enrollments at Kaplan University declined 11% in each of the third quarter and first nine months of 2015 due to lower demand across Kaplan University programs.</w:t>
      </w:r>
    </w:p>
    <w:p>
      <w:pPr>
        <w:spacing w:after="0" w:line="135"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Total students at Kaplan University were down 7% at September 30, 2015 compared to September 30, 2014. A summary of student enrollments is as follows:</w:t>
      </w:r>
    </w:p>
    <w:p>
      <w:pPr>
        <w:spacing w:after="0" w:line="190"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26035</wp:posOffset>
            </wp:positionV>
            <wp:extent cx="15093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2014</w:t>
            </w:r>
          </w:p>
        </w:tc>
      </w:tr>
      <w:tr>
        <w:trPr>
          <w:trHeight w:val="250"/>
        </w:trPr>
        <w:tc>
          <w:tcPr>
            <w:tcW w:w="538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5000" w:type="dxa"/>
            <w:vAlign w:val="bottom"/>
          </w:tcPr>
          <w:p>
            <w:pPr>
              <w:jc w:val="right"/>
              <w:ind w:right="243"/>
              <w:spacing w:after="0"/>
              <w:rPr>
                <w:sz w:val="20"/>
                <w:szCs w:val="20"/>
                <w:color w:val="auto"/>
              </w:rPr>
            </w:pPr>
            <w:r>
              <w:rPr>
                <w:rFonts w:ascii="Arial" w:cs="Arial" w:eastAsia="Arial" w:hAnsi="Arial"/>
                <w:sz w:val="16"/>
                <w:szCs w:val="16"/>
                <w:b w:val="1"/>
                <w:bCs w:val="1"/>
                <w:color w:val="auto"/>
              </w:rPr>
              <w:t>42,931</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46,342</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September 30, 2015 and 2014,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5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89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2014</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3.5%</w:t>
            </w: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27.4%</w:t>
            </w: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47.3%</w:t>
            </w:r>
          </w:p>
        </w:tc>
        <w:tc>
          <w:tcPr>
            <w:tcW w:w="106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64"/>
        </w:trPr>
        <w:tc>
          <w:tcPr>
            <w:tcW w:w="8900" w:type="dxa"/>
            <w:vAlign w:val="bottom"/>
          </w:tcPr>
          <w:p>
            <w:pPr>
              <w:spacing w:after="0"/>
              <w:rPr>
                <w:sz w:val="22"/>
                <w:szCs w:val="22"/>
                <w:color w:val="auto"/>
              </w:rPr>
            </w:pP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2% for the third quarter of 2015 and was flat for the first nine months of 2015. Excluding revenues from acquired businesses, KTP revenue decreased 2% in the first nine months of 2015. Enrollments, excluding the new economy skills training offerings, were down 13% for first nine months of 2015 due primarily to declines in graduate programs; however, unit prices were generally higher. In comparison, KTP operating results improved in the third quarter and first nine months of 2015 due to a reduction in operating expenses and the inclusion of a $7.7 million software asset write-off in the second quarter of 2014 that did not recur in 2015.</w:t>
      </w:r>
    </w:p>
    <w:p>
      <w:pPr>
        <w:spacing w:after="0" w:line="13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7% in the third quarter and 5% in the first nine months of 2015, respectively, due to the adverse impact of foreign exchange rates. On a constant currency basis, Kaplan International revenue increased 2% and 4% for the third quarter and first nine months of 2015, respectively, due to enrollment growth in Australia and in Singapore higher education programs, offset by enrollment declines in English-language programs. Kaplan International operating income declined in the third quarter and first nine months of 2015 due largely to the declines in English-language results.</w:t>
      </w:r>
    </w:p>
    <w:p>
      <w:pPr>
        <w:spacing w:after="0" w:line="13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third quarter of 2015, Kaplan corporate recorded $ 5.3 million in severance expense, $2.1 million of which will be funded from the assets of the Company’s pension plan. In the first nine months of 2015, Kaplan corporate recorded $26.5 million in restructuring charges, including accelerated depreciation ($16.2 million) and lease obligation losses ($4.9 million) related to office space managed by Kaplan corporate, and severance ($5.4 million, $2.1 million of which will be funded from the assets of the Company’s pension plan).</w:t>
      </w:r>
    </w:p>
    <w:p>
      <w:pPr>
        <w:spacing w:after="0" w:line="137"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In the first nine months of 2015, Kaplan sold four businesses, including the KHE Campuses business and a small business that was part of KHE, and two business that were part of Kaplan International. The net loss on the sale of these businesses totaled $26.3 million and $24.9 million in the third quarter and first nine months of 2015, respectively, that is included in other non-operating expense for the relevant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5" w:name="page36"/>
    <w:bookmarkEnd w:id="35"/>
    <w:p>
      <w:pPr>
        <w:ind w:right="280"/>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that will result in additional restructuring plans and related costs in the fourth quarter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3% to $89.7 million in the third quarter of 2015, from $87.4 million in the same period of 2014; operating income for the third quarter of 2015 was down 10% to $40.5 million, from $45.0 million in the same period of 2014. The revenue increase is due to $4.8 million in increased retransmission revenues and an overall increase in advertising revenue in several key sectors, including automotive, offset by an $8.9 million decrease in political advertising revenue. The decline in operating income is due to an increase in spending on digital initiatives and increased network fees.</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Revenue at the television broadcasting division increased 1% to $ 264.0 million in the first nine months of 2015, from $ 261.4 million in the same period of 2014; operating income for the first nine months of 2015 was down 9% to $121.1 million, from $ 133.5 million in the same period of 2014. The revenue increase is due to $ 11.5 million in increased retransmission revenues, revenues from the Super Bowl at the Company’s NBC affiliates in February 2015 and an overall increase in advertising revenue in several key sectors, offset by a $13.1 million decrease in political advertising revenue and $9.5 million in incremental winter Olympics-related advertising revenue at the Company’s NBC affiliates booked in the prior year. The decline in operating income is due to an increase in spending on digital initiatives and increased network fees.</w:t>
      </w:r>
    </w:p>
    <w:p>
      <w:pPr>
        <w:spacing w:after="0" w:line="13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2015, the Company’s WKMG station in Orlando, FL renewed their network affiliation agreement with CBS for a four-year term ending in April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includes the following:</w:t>
      </w:r>
    </w:p>
    <w:p>
      <w:pPr>
        <w:spacing w:after="0" w:line="144" w:lineRule="exact"/>
        <w:rPr>
          <w:sz w:val="20"/>
          <w:szCs w:val="20"/>
          <w:color w:val="auto"/>
        </w:rPr>
      </w:pPr>
    </w:p>
    <w:p>
      <w:pPr>
        <w:ind w:right="160" w:firstLine="8"/>
        <w:spacing w:after="0" w:line="235" w:lineRule="auto"/>
        <w:tabs>
          <w:tab w:leader="none" w:pos="1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134" w:lineRule="exact"/>
        <w:rPr>
          <w:rFonts w:ascii="Arial" w:cs="Arial" w:eastAsia="Arial" w:hAnsi="Arial"/>
          <w:sz w:val="18"/>
          <w:szCs w:val="18"/>
          <w:color w:val="auto"/>
        </w:rPr>
      </w:pPr>
    </w:p>
    <w:p>
      <w:pPr>
        <w:ind w:right="60" w:firstLine="8"/>
        <w:spacing w:after="0" w:line="258" w:lineRule="auto"/>
        <w:tabs>
          <w:tab w:leader="none" w:pos="11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Joyce/Dayton Corp., a Dayton, OH-based manufacturer of screw jacks and other linear motion systems (acquired in June 2014), and Forney, a global supplier of products and systems that control and monitor combustion processes in electric utility and industrial applications; and</w:t>
      </w:r>
    </w:p>
    <w:p>
      <w:pPr>
        <w:spacing w:after="0" w:line="119" w:lineRule="exact"/>
        <w:rPr>
          <w:rFonts w:ascii="Arial" w:cs="Arial" w:eastAsia="Arial" w:hAnsi="Arial"/>
          <w:sz w:val="17"/>
          <w:szCs w:val="17"/>
          <w:color w:val="auto"/>
        </w:rPr>
      </w:pPr>
    </w:p>
    <w:p>
      <w:pPr>
        <w:ind w:right="20" w:firstLine="8"/>
        <w:spacing w:after="0" w:line="229" w:lineRule="auto"/>
        <w:tabs>
          <w:tab w:leader="none" w:pos="1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The Slate Group and Foreign Policy Group, which publish online and print magazines and websites; and Trove, a digital innovation team that builds products and technologies in the news space.</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increase in revenues for the first nine months of 2015 is primarily due to newly acquired businesses in 2014 and growth at SocialCode. The improved operating results for the first nine months of 2015 is also due to newly acquired businesses in 2014 and improved results at SocialCode and Celtic.</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expense.</w:t>
      </w:r>
    </w:p>
    <w:p>
      <w:pPr>
        <w:spacing w:after="0" w:line="13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third quarter of 2015, the Company recorded $18.8 million in incremental stock option expense, due to stock option modifications that resulted from the Cable ONE spin-off. In the first quarter of 2014, the corporate office implemented a Separation Incentive Program that resulted in early retirement program expense of $4.5 million, which is being funded from the assets of the Company’s pension plan. In the third quarter of 2014, the Company recorded $10.3 million in early retirement program expense and other related charges, a portion of which was funded from the assets of the Company's pension plan. Excluding early retirement program expense, the total pension credit for the Company’s traditional defined benefit plan was $58.7 million and $68.0 million in the first nine months of 2015 and 2014, respectively.</w:t>
      </w:r>
    </w:p>
    <w:p>
      <w:pPr>
        <w:spacing w:after="0" w:line="13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Excluding the $18.8 million incremental stock option expense in 2015, the pension credit, early retirement program expense and other related charges in 2014, corporate office expense declined in the first nine months of 2015. The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6" w:name="page37"/>
    <w:bookmarkEnd w:id="36"/>
    <w:p>
      <w:pPr>
        <w:ind w:right="40"/>
        <w:spacing w:after="0" w:line="235" w:lineRule="auto"/>
        <w:rPr>
          <w:sz w:val="20"/>
          <w:szCs w:val="20"/>
          <w:color w:val="auto"/>
        </w:rPr>
      </w:pPr>
      <w:r>
        <w:rPr>
          <w:rFonts w:ascii="Arial" w:cs="Arial" w:eastAsia="Arial" w:hAnsi="Arial"/>
          <w:sz w:val="18"/>
          <w:szCs w:val="18"/>
          <w:color w:val="auto"/>
        </w:rPr>
        <w:t>decline is from lower compensation costs, and 2014 costs related to certain acquisitions, the Berkshire exchange transaction and the corporate office headquarters move to Arlington, VA. These costs did not recur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At September 30, 2015, the Company held a 40% interest in the Celtic joint venture and Residential Home Health Illinois, a 42.5% interest in Residential Hospice Illinois, and interests in several other affiliates. In the second quarter of 2015, the Company acquired an approximate 20% interest in HomeHero, a company that created and manages an online senior home care marketplace. At September 30, 2014, the Company held a 16.5% interest in Classified Ventures, LLC (CV) and interests in several other affiliates. On October 1, 2014, the Company and the remaining partners in CV completed the sale of their entire stakes in CV.</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Company recorded equity in earnings of affiliates of $0.1 million for the third quarter of 2015, compared to $4.6 million for the third quarter of 2014. The Company recorded equity in losses of affiliates of $0.7 million for the first nine months of 2015, compared to income of $ 100.2 million for the first nine months of 2014. The equity in earnings of affiliates for the third quarter and first nine months of 2014 was from the Company’s CV investment, which included a pre-tax gain of $90.9 million from Classified Ventures’ sale of apartments.com in the second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recorded total other non-operating expense, net, of $40.5 million for the third quarter of 2015, compared to $10.7 million for the third quarter of 2014. The 2015 amounts included $26.3 million in losses from the sales of businesses, $13.0 million in unrealized foreign currency losses and other items. The 2014 amounts included $10.6 million in unrealized foreign currency losses and other items.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recorded total other non-operating expense, net, of $29.9 million for the first nine months of 2015, compared to income of $390.7 million for the first nine months of 2014. The 2015 amounts included $23.3 million in losses from the sales of businesses, $16.2 million in unrealized foreign currency losses and other items, offset by a $6.0 million gain on the Celtic joint venture transaction and a $4.8 million increase to the CV gain. The 2014 amounts included the pre-tax gain of $266.7 million in connection with the Company’s exchange of Berkshire shares, the pre-tax $127.7 million gain on the sale of the headquarters building, offset by $2.6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Company incurred net interest expense of $7.3 million and $23.3 million for the third quarter and first nine months of 2015, respectively, compared to $8.8 million and $24.8 million for the same periods of 2014. At September 30, 2015, the Company had $402.8 million in borrowings outstanding at an average interest rate of 7.2% and cash, marketable equity securities and other investments of $1,346.4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effective tax rate on the loss for continuing operations for the first nine months of 2015 was 4.9%, as a large portion of the goodwill impairment charge and the goodwill included in the loss on the KHE Campuses sale are permanent differences. Excluding the effect of these permanent differences, the effective tax rate for continuing operations for the first nine months of 2015 was 38.0%, compared to 23.4% for the first nine months of 2014. The lower effective tax rate in 2014 relates to the Berkshire exchange transaction. The pre-tax gain of $266.7 million related to the disposition of the Berkshire shares was not subject to income tax as the exchange qualifies as a tax-free distribution.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completed the spin-off of Cable ONE as an independent, publicly traded company.</w:t>
      </w:r>
    </w:p>
    <w:p>
      <w:pPr>
        <w:spacing w:after="0" w:line="7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216"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gain (loss), if any, on dispositions of these businesses, which have been reclassified to discontinued operations, net of tax, for all periods presented.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(Loss) Earnings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(loss) earnings per share for the third quarter and first nine months of 2015 was based on 5,837,107 and 5,810,672 weighted average shares outstanding, respectively, compared to 5,756,682 and 6,823,248 for the third quarter and first nine months of 2014. At September 30, 2015, there were 5,839,104 shares outstanding. On May 14, 2015, the Board of Directors authorized the Company to acquire up to 500,000 shares of its Class B common stock; the Company has remaining authorization for all 500,000 shares as of September 30,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Department of Education (ED) convened a negotiated rulemaking committee in September 2013 to develop new proposed gainful employment regulations. A final regulation was released on October 31, 2014. The final regulation implements debt-to-earnings thresholds that, effective July 1, 2015, require each program subject to the GE regulations (which include most of KHE's programs) to show that its graduates’ debt payments on loans taken to attend the program are no more than specified percentages of annual or discretionary income. The ED will calculate this debt-to-earnings ratio using income information gained from the Social Security Administration and federal Title IV and private loan data provided by the schools. If a program’s graduates’ debt payments exceed 8% of the graduates’ mean and median annual earnings and 20% of the graduates’ mean and median discretionary earnings, the program will be placed on a warning status requiring certain disclosures to the public. Four consecutive years on a warning status will result in the program becoming ineligible for federal aid Title IV participation.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 The regulation also includes revised requirements for program approval and public disclosure of certain outcomes (graduation, placement, repayment rates and other consumer information).</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Some of the data needed to compute program eligibility under the regulatory language are not readily accessible, including graduate incomes, which will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GE regulations and their impact on Kaplan’s operations are still uncertain. Kaplan is making efforts to mitigate the potential negative impact of GE.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can be no guarantee that these measures will be adequate to prevent a material number of programs from either failing the GE tests or being put on warning status. This could cause Kaplan to eliminate or limit enrollments in certain educational programs at some or all of its schools, result in the loss of student access to Title IV programs and have a material adverse effect on KHE's revenues, operating income, cash flows and the estimated fair value of the reporting unit.</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In the third quarter of 2015, Kaplan submitted data to the ED beginning with the 2008-2009 through the 2014-2015 award years, as required under the GE regulations. In October 2015, Kaplan University received a letter from the ED indicating that that it had failed to report data on a number of programs and that Kaplan University cannot start any new programs until the matter is resolved. Kaplan has submitted additional data to the ED and is awaiting a formal response and resolution of the matter. Failure to properly resolve the matter could result in administrative actions by the 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In the first nine months of 2015, the Company did not make any acquisitions. In the first nine months of 2014,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seven businesses totaling $204.9 million, comprised of four businesses in other businesses, two businesses in Kaplan Test Prep, and one business in Kaplan Higher Ed. The purchase price allocation mostly comprised goodwill, other intangible assets, and other current assets.</w:t>
      </w:r>
    </w:p>
    <w:p>
      <w:pPr>
        <w:spacing w:after="0" w:line="121"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The operating results of these businesses are included in other businesses. Residential Healthcare Group, Inc. has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62" w:right="239" w:bottom="1440" w:gutter="0" w:footer="0" w:header="0"/>
        </w:sectPr>
      </w:pPr>
    </w:p>
    <w:bookmarkStart w:id="38" w:name="page39"/>
    <w:bookmarkEnd w:id="38"/>
    <w:p>
      <w:pPr>
        <w:ind w:right="760"/>
        <w:spacing w:after="0" w:line="235" w:lineRule="auto"/>
        <w:rPr>
          <w:sz w:val="20"/>
          <w:szCs w:val="20"/>
          <w:color w:val="auto"/>
        </w:rPr>
      </w:pPr>
      <w:r>
        <w:rPr>
          <w:rFonts w:ascii="Arial" w:cs="Arial" w:eastAsia="Arial" w:hAnsi="Arial"/>
          <w:sz w:val="18"/>
          <w:szCs w:val="18"/>
          <w:color w:val="auto"/>
        </w:rPr>
        <w:t>a 40% ownership interest in Residential Home Health Illinois and a 42.5% ownership interest in Residential Hospice Illinois, which are accounted for as investments in affiliates.</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July 1, 2015, the Company completed the spin-off of Cable ONE, by way of a distribution of all the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Cable ONE common stock, on a pro rata basis, to the Company's stockholders.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ED in connection with its post-closing review of the transaction, Kaplan 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In the second quarter of 2015, Kaplan recorded a $6.9 million long-lived assets impairment charge in connection with the KHE Campuses business.</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gains (losses) in other non-operating (expense) income (see Note 10).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15"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Allegheny Health Network closed on the formation of a joint venture to combine each other’s home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During the first nine months of 2015, the Company’s capital expenditures totaled $114.0 million. This amount includes assets acquired during the year, whereas the amounts reflected in the Company's Condensed Statements of Cash Flows are based on cash payments made during the relevant periods. The Company estimates that its capital expenditures will be in the range of $125 million to $135 million in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Company’s borrowings decreased by $43.1 million, to $402.8 million at September 30, 2015, as compared to borrowings of $445.9 million at December 31, 2014, primarily due to the payoff of the AUD 50 million borrowing in March 2015.</w:t>
      </w:r>
    </w:p>
    <w:p>
      <w:pPr>
        <w:spacing w:after="0" w:line="135"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September 30, 2015, the Company had cash and cash equivalents, restricted cash and investments in marketable securities and other investments totaling $1,346.4 million, compared with $1,024.4 million at December 31, 2014. The increase is due to the $447.1 million net distribution from Cable ONE, offset by significant income tax payments in the first quarter of 2015 and other investing and financing activities.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As of September 30, 2014, the Company held investments in commercial paper totaling $ 50.0 million with original maturities of 91 to 180 days. The Company did not have any investments in commercial paper at September 30, 2015 with original maturities of over 90 days. For the first nine months of 2014, these investments are presented in the Company’s Condensed Consolidated Statements of Cash Flows as net cash used in investing activities.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new 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9" w:name="page40"/>
    <w:bookmarkEnd w:id="39"/>
    <w:p>
      <w:pPr>
        <w:ind w:right="20"/>
        <w:spacing w:after="0" w:line="221" w:lineRule="auto"/>
        <w:rPr>
          <w:sz w:val="20"/>
          <w:szCs w:val="20"/>
          <w:color w:val="auto"/>
        </w:rPr>
      </w:pPr>
      <w:r>
        <w:rPr>
          <w:rFonts w:ascii="Arial" w:cs="Arial" w:eastAsia="Arial" w:hAnsi="Arial"/>
          <w:sz w:val="18"/>
          <w:szCs w:val="18"/>
          <w:color w:val="auto"/>
        </w:rPr>
        <w:t>$200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14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As a result of the Cable ONE spin-off, the Company reduced its regular quarterly dividend to be paid in the fourth quarter of 2015 to $1.15 per share. The Company retired the Series A redeemable preferred stock with a cash payment of $10.5 million in October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July 2014, the cable division sold its wireless spectrum licenses for $99 million.</w:t>
      </w:r>
    </w:p>
    <w:p>
      <w:pPr>
        <w:spacing w:after="0" w:line="144"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March 12, 2014, Moody’s placed the Company’s senior unsecured rating and its Prime-2 commercial paper rating on review for downgrade. On June 26, 2014, Moody’s downgraded the Company’s long-term credit ratings by two levels from “Baa1” to “Baa3” and the short-term rating by one level from Prime-2 to Prime-3 and changed the outlook to stable. In November 2014, S&amp;P placed the Company’s “BBB” corporate credit rating and “A-2” short-term rating on Credit Watch with negative implications, and Moody’s placed the Company’s “Baa3” senior unsecured rating under review for possible downgrade. On June 24, 2015, due to the pending Cable spin-off, Moody’s downgraded the Company’s long-term credit ratings from “Baa3” to “Ba1” and the short-term rating from “Prime-3” to “NP”. On July 1, 2015, due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At September 30, 2015 and December 31, 2014, the Company had working capital of $1,191.4 million and $639.9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2015.</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December 31, 2014, total contractual obligations for the Cable division were $637.6 million. Except for the reduction in contractual obligations due to the spin-off of Cable ONE, there were no significant changes to the Company’s contractual obligations or other commercial commitments from those disclosed in the Company’s Annual Report on Form 10-K for the year ended December 31, 2014.</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In the third quarter of 2015, the Company performed an interim review of the carrying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and other intangible assets at its KHE Reporting Unit for possible impairment, as a result of continued declines in student enrollments at KHE and the challenging industry operating environment. Due to the complexity and effort required to estimate the fair value of the KHE reporting unit in step one of the impairment test and the fair value of the assets and liabilities of the KHE reporting unit in the step two analysis, the Company derived the fair value estimates based on preliminary assumptions and analysis that are subject to change.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 The methodology used to estimate the fair value of the Company’s KHE reporting unit was consistent with the one used during the Company’s 2014 annual goodwill impairment test.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used by the Company were as follows:</w:t>
      </w:r>
    </w:p>
    <w:p>
      <w:pPr>
        <w:spacing w:after="0" w:line="144" w:lineRule="exact"/>
        <w:rPr>
          <w:sz w:val="20"/>
          <w:szCs w:val="20"/>
          <w:color w:val="auto"/>
        </w:rPr>
      </w:pPr>
    </w:p>
    <w:p>
      <w:pPr>
        <w:ind w:left="340" w:right="40" w:hanging="332"/>
        <w:spacing w:after="0" w:line="22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cash flows underlying the reporting unit’s business plans for the periods 2015 through 2025. The expected cash flows took into account historical growth rates, forecasts and long-term business plans, but also included an estimate for the possible impact of the gainful employment regulations on the Company’s higher education business.</w:t>
      </w:r>
    </w:p>
    <w:p>
      <w:pPr>
        <w:spacing w:after="0" w:line="82" w:lineRule="exact"/>
        <w:rPr>
          <w:rFonts w:ascii="Arial" w:cs="Arial" w:eastAsia="Arial" w:hAnsi="Arial"/>
          <w:sz w:val="18"/>
          <w:szCs w:val="18"/>
          <w:color w:val="auto"/>
        </w:rPr>
      </w:pPr>
    </w:p>
    <w:p>
      <w:pPr>
        <w:ind w:left="340" w:right="40" w:hanging="332"/>
        <w:spacing w:after="0" w:line="235"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flows beyond 2025 were projected to grow at a long-term growth rate, which the Company estimated by considering historical market growth trends, anticipated reporting unit performance and expected market conditions.</w:t>
      </w:r>
    </w:p>
    <w:p>
      <w:pPr>
        <w:spacing w:after="0" w:line="80" w:lineRule="exact"/>
        <w:rPr>
          <w:rFonts w:ascii="Arial" w:cs="Arial" w:eastAsia="Arial" w:hAnsi="Arial"/>
          <w:sz w:val="18"/>
          <w:szCs w:val="18"/>
          <w:color w:val="auto"/>
        </w:rPr>
      </w:pPr>
    </w:p>
    <w:p>
      <w:pPr>
        <w:jc w:val="both"/>
        <w:ind w:left="340" w:right="320" w:hanging="332"/>
        <w:spacing w:after="0" w:line="22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used a discount rate of 13% to risk adjust the cash flow projections in determining the estimated fair value. This took into account the Company’s assessment of the risks inherent in the future cash flows of the reporting unit and the weighted average cost of capital of market participants in businesses similar to the reporting unit.</w:t>
      </w:r>
    </w:p>
    <w:p>
      <w:pPr>
        <w:spacing w:after="0" w:line="83"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KHE reporting unit failed the preliminary step one interim goodwill impairment review, and the Company performed a step two analysis. The Company recorded an estimated preliminary goodwill impairment charge of $248.6 million related to the reporting unit. A substantial portion of the estimated impairment charge is due to the amount of unrecognized intangible assets identified in the preliminary step two analysis. Following the preliminary impairment, the remaining goodwill balance at the reporting unit as of September 30, 2015 was $132.3 million. Any adjustment to the estimated impairment charge will be recorded in the fourth quarter of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2014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30, 2015.</w:t>
      </w:r>
    </w:p>
    <w:p>
      <w:pPr>
        <w:spacing w:after="0" w:line="1"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62" w:right="259" w:bottom="1440" w:gutter="0" w:footer="0" w:header="0"/>
        </w:sectPr>
      </w:pPr>
    </w:p>
    <w:bookmarkStart w:id="41" w:name="page42"/>
    <w:bookmarkEnd w:id="41"/>
    <w:p>
      <w:pPr>
        <w:ind w:right="1500"/>
        <w:spacing w:after="0" w:line="407" w:lineRule="auto"/>
        <w:rPr>
          <w:sz w:val="20"/>
          <w:szCs w:val="20"/>
          <w:color w:val="auto"/>
        </w:rPr>
      </w:pPr>
      <w:r>
        <w:rPr>
          <w:rFonts w:ascii="Arial" w:cs="Arial" w:eastAsia="Arial" w:hAnsi="Arial"/>
          <w:sz w:val="18"/>
          <w:szCs w:val="18"/>
          <w:color w:val="auto"/>
        </w:rPr>
        <w:t xml:space="preserve">Executive Officer and Senior Vice President-Finance, in a manner that allows timely decisions regarding required disclosure. </w:t>
      </w:r>
      <w:r>
        <w:rPr>
          <w:rFonts w:ascii="Arial" w:cs="Arial" w:eastAsia="Arial" w:hAnsi="Arial"/>
          <w:sz w:val="18"/>
          <w:szCs w:val="18"/>
          <w:b w:val="1"/>
          <w:bCs w:val="1"/>
          <w:i w:val="1"/>
          <w:iCs w:val="1"/>
          <w:color w:val="auto"/>
        </w:rPr>
        <w:t>(b) Changes in Internal Control Over Financial Reporting</w:t>
      </w:r>
    </w:p>
    <w:p>
      <w:pPr>
        <w:ind w:right="320"/>
        <w:spacing w:after="0" w:line="235" w:lineRule="auto"/>
        <w:rPr>
          <w:sz w:val="20"/>
          <w:szCs w:val="20"/>
          <w:color w:val="auto"/>
        </w:rPr>
      </w:pPr>
      <w:r>
        <w:rPr>
          <w:rFonts w:ascii="Arial" w:cs="Arial" w:eastAsia="Arial" w:hAnsi="Arial"/>
          <w:sz w:val="18"/>
          <w:szCs w:val="18"/>
          <w:color w:val="auto"/>
        </w:rPr>
        <w:t>There has been no change in the Comapny's internal control over financial reporting during the quarter ended September 30, 2015 that has materially affected, or is reasonably likely to materially affect, the Company’s internal control over financial reporting.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2014 Form 10-K and our Form 10-Q for the period ended June 30, 2015.</w:t>
      </w:r>
    </w:p>
    <w:p>
      <w:pPr>
        <w:spacing w:after="0" w:line="113" w:lineRule="exact"/>
        <w:rPr>
          <w:sz w:val="20"/>
          <w:szCs w:val="20"/>
          <w:color w:val="auto"/>
        </w:rPr>
      </w:pPr>
    </w:p>
    <w:p>
      <w:pPr>
        <w:ind w:left="260" w:right="20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6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KHE schools are subject to program reviews, audits, investigations and other compliance reviews conducted by various regulatory agencies and auditors, including, among others, the ED, the ED’s Office of the Inspector General, accrediting bodies and state and various other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Certain KHE schools are the subject of ongoing compliance reviews and lawsuits related to their compliance with statutory and regulatory requirements and may be subject to future compliance reviews. Although substantially all of the assets of KHE on-ground schools were sold on September 3, 2015, Kaplan retained liability for pre-sale conduct of those schools.</w:t>
      </w:r>
    </w:p>
    <w:p>
      <w:pPr>
        <w:spacing w:after="0" w:line="8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KHE schools also have been, and may in the future be, subject to complaints and lawsuits by present or former students or employees or other people related to compliance with statutory, common law and regulatory requirements that, if successful, could result in monetary liabilities or fines or other sanctions.</w:t>
      </w:r>
    </w:p>
    <w:p>
      <w:pPr>
        <w:spacing w:after="0" w:line="6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Gainful Employment Could Have a Material Adverse Effect on Kaplan's Business and Operations</w:t>
      </w:r>
    </w:p>
    <w:p>
      <w:pPr>
        <w:spacing w:after="0" w:line="99"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October 2014, the ED issued final regulations that tie an education program’s Title IV eligibility to whether the program leads to gainful employment. The regulations define an education program that leads to gainful employment as one that complies with gainful employment metrics relating to loan repayment rates of program graduates.</w:t>
      </w:r>
    </w:p>
    <w:p>
      <w:pPr>
        <w:spacing w:after="0" w:line="8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Under the regulation effective July 1, 2015, if a program’s graduates’ debt payments exceed 8% of the graduates’ mean and median annual earnings and 20% of the graduates’ mean and median discretionary earnings, the program will be placed on a warning status requiring certain disclosures to the public. If a program is in a warning status for four consecutive years, it will become ineligible for Federal aid Title IV participation. In addition, if a program’s graduates’ debt payments exceed 12% of the graduates’ mean and median annual earnings and 30% of the graduates’ mean and median discretionary earnings, the program will fail the gainful employment test. If a program fails the test two times within three years, it will become ineligible for Federal aid Title IV participation. This has caused Kaplan to eliminate or limit enrollments in certain educational programs at some or all of its schools and could have a materially adverse effect on its business and operations. On October 9, 2015, Kaplan University received a letter from the ED indicating that it failed to report data on a significant number of programs that were listed as active in the ED’s system. The letter states that until this issue is resolved, Kaplan University cannot start any new programs and failure to resolve could result in material administrative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40" w:hanging="910"/>
        <w:spacing w:after="0" w:line="248" w:lineRule="auto"/>
        <w:tabs>
          <w:tab w:leader="none" w:pos="10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September 30, 2015, formatted in Extensible Business Reporting Language (XBRL): (i) Condensed Consolidated Statements of Operations for the Three and Nine Months Ended September 30, 2015 and 2014, (ii) Condensed Consolidated Statements of Comprehensive Income for the Three and Nine Months Ended September 30, 2015 and 2014, (iii) Condensed Consolidated Balance Sheets as of September 30, 2015 and December 31, 2014, (iv) Condensed Consolidated Statements of Cash Flows for the Nine Months Ended September 30, 2015 and 2014,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62" w:right="239" w:bottom="1440" w:gutter="0" w:footer="0" w:header="0"/>
        </w:sectPr>
      </w:pPr>
    </w:p>
    <w:bookmarkStart w:id="43" w:name="page44"/>
    <w:bookmarkEnd w:id="43"/>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Donald E. Graham,</w:t>
      </w:r>
    </w:p>
    <w:p>
      <w:pPr>
        <w:spacing w:after="0" w:line="19"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47"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742" w:right="5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389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2015</w:t>
      </w:r>
    </w:p>
    <w:p>
      <w:pPr>
        <w:sectPr>
          <w:pgSz w:w="11900" w:h="16838" w:orient="portrait"/>
          <w:cols w:equalWidth="0" w:num="1">
            <w:col w:w="11420"/>
          </w:cols>
          <w:pgMar w:left="240" w:top="38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67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2015</w:t>
      </w:r>
    </w:p>
    <w:p>
      <w:pPr>
        <w:sectPr>
          <w:pgSz w:w="11900" w:h="16838" w:orient="portrait"/>
          <w:cols w:equalWidth="0" w:num="1">
            <w:col w:w="11420"/>
          </w:cols>
          <w:pgMar w:left="240" w:top="59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2015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43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2015</w:t>
      </w:r>
    </w:p>
    <w:p>
      <w:pPr>
        <w:spacing w:after="0" w:line="3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992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2015</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emdash "/>
      <w:numFmt w:val="bullet"/>
      <w:start w:val="1"/>
    </w:lvl>
  </w:abstractNum>
  <w:abstractNum w:abstractNumId="9">
    <w:nsid w:val="62BBD95A"/>
    <w:multiLevelType w:val="hybridMultilevel"/>
    <w:lvl w:ilvl="0">
      <w:lvlJc w:val="left"/>
      <w:lvlText w:val="(%1)"/>
      <w:numFmt w:val="decimal"/>
      <w:start w:val="404"/>
    </w:lvl>
  </w:abstractNum>
  <w:abstractNum w:abstractNumId="10">
    <w:nsid w:val="436C6125"/>
    <w:multiLevelType w:val="hybridMultilevel"/>
    <w:lvl w:ilvl="0">
      <w:lvlJc w:val="left"/>
      <w:lvlText w:val="%1"/>
      <w:numFmt w:val="decimal"/>
      <w:start w:val="559"/>
    </w:lvl>
  </w:abstractNum>
  <w:abstractNum w:abstractNumId="11">
    <w:nsid w:val="628C895D"/>
    <w:multiLevelType w:val="hybridMultilevel"/>
    <w:lvl w:ilvl="0">
      <w:lvlJc w:val="left"/>
      <w:lvlText w:val="(%1)"/>
      <w:numFmt w:val="decimal"/>
      <w:start w:val="589"/>
    </w:lvl>
  </w:abstractNum>
  <w:abstractNum w:abstractNumId="12">
    <w:nsid w:val="333AB105"/>
    <w:multiLevelType w:val="hybridMultilevel"/>
    <w:lvl w:ilvl="0">
      <w:lvlJc w:val="left"/>
      <w:lvlText w:val="(%1)"/>
      <w:numFmt w:val="decimal"/>
      <w:start w:val="774"/>
    </w:lvl>
  </w:abstractNum>
  <w:abstractNum w:abstractNumId="13">
    <w:nsid w:val="721DA317"/>
    <w:multiLevelType w:val="hybridMultilevel"/>
    <w:lvl w:ilvl="0">
      <w:lvlJc w:val="left"/>
      <w:lvlText w:val="(%1)"/>
      <w:numFmt w:val="decimal"/>
      <w:start w:val="420"/>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2"/>
      <w:numFmt w:val="decimal"/>
      <w:start w:val="10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2019-12-29T14:47:06Z</dcterms:created>
  <dcterms:modified xsi:type="dcterms:W3CDTF">2019-12-29T14:47:06Z</dcterms:modified>
</cp:coreProperties>
</file>