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939640108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939640108</w:t>
            </w:r>
          </w:p>
        </w:tc>
        <w:tc>
          <w:tcPr>
            <w:tcW w:w="6160" w:type="dxa"/>
            <w:vAlign w:val="bottom"/>
          </w:tcPr>
          <w:p>
            <w:pPr>
              <w:spacing w:after="0"/>
              <w:rPr>
                <w:sz w:val="19"/>
                <w:szCs w:val="19"/>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Page</w:t>
            </w:r>
          </w:p>
        </w:tc>
        <w:tc>
          <w:tcPr>
            <w:tcW w:w="42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6 pages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4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International Value Advisers, LLC</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74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74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415,854</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BY 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442,173</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442,173</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w w:val="96"/>
              </w:rPr>
              <w:t>CHECK IF THE AGGREGATE AMOUNT IN ROW (9) EXCLUDES CERTAIN SHARES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The Washington Post Company</w:t>
      </w:r>
    </w:p>
    <w:p>
      <w:pPr>
        <w:spacing w:after="0" w:line="225" w:lineRule="exact"/>
        <w:rPr>
          <w:rFonts w:ascii="Arial" w:cs="Arial" w:eastAsia="Arial" w:hAnsi="Arial"/>
          <w:sz w:val="18"/>
          <w:szCs w:val="18"/>
          <w:color w:val="auto"/>
        </w:rPr>
      </w:pPr>
    </w:p>
    <w:p>
      <w:pPr>
        <w:ind w:left="4200" w:right="4920" w:hanging="3760"/>
        <w:spacing w:after="0" w:line="342" w:lineRule="auto"/>
        <w:tabs>
          <w:tab w:leader="none" w:pos="756"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Issuer’s Principal Executive Offices 1150 15TH STREET NW WASHINGTON, D.C. 20071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International Value Advisers, LLC</w:t>
      </w:r>
    </w:p>
    <w:p>
      <w:pPr>
        <w:spacing w:after="0" w:line="225" w:lineRule="exact"/>
        <w:rPr>
          <w:rFonts w:ascii="Arial" w:cs="Arial" w:eastAsia="Arial" w:hAnsi="Arial"/>
          <w:sz w:val="18"/>
          <w:szCs w:val="18"/>
          <w:color w:val="auto"/>
        </w:rPr>
      </w:pPr>
    </w:p>
    <w:p>
      <w:pPr>
        <w:ind w:left="5120" w:right="4060" w:hanging="4680"/>
        <w:spacing w:after="0" w:line="308" w:lineRule="auto"/>
        <w:tabs>
          <w:tab w:leader="none" w:pos="758"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 717 Fifth Avenue, 10th Floor New York, NY 10022</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Class B Common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939640108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3(a)(l9) of the Act (15 U.S.C. 78c).</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§240.l3d-l(b)(l)(ii)(E);</w:t>
      </w:r>
    </w:p>
    <w:p>
      <w:pPr>
        <w:spacing w:after="0" w:line="257"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§240.13d-l(b)(1)(ii)(F);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240.13d-l(b)(1)(ii)(G);</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80" w:hanging="640"/>
        <w:spacing w:after="0" w:line="277" w:lineRule="auto"/>
        <w:tabs>
          <w:tab w:leader="none" w:pos="7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3" w:name="page4"/>
    <w:bookmarkEnd w:id="3"/>
    <w:p>
      <w:pPr>
        <w:ind w:left="440"/>
        <w:spacing w:after="0"/>
        <w:tabs>
          <w:tab w:leader="none" w:pos="1020" w:val="left"/>
        </w:tabs>
        <w:rPr>
          <w:sz w:val="20"/>
          <w:szCs w:val="20"/>
          <w:color w:val="auto"/>
        </w:rPr>
      </w:pPr>
      <w:r>
        <w:rPr>
          <w:rFonts w:ascii="Arial" w:cs="Arial" w:eastAsia="Arial" w:hAnsi="Arial"/>
          <w:sz w:val="18"/>
          <w:szCs w:val="18"/>
          <w:color w:val="auto"/>
        </w:rPr>
        <w:t>(j) o</w:t>
      </w:r>
      <w:r>
        <w:rPr>
          <w:sz w:val="20"/>
          <w:szCs w:val="20"/>
          <w:color w:val="auto"/>
        </w:rPr>
        <w:tab/>
      </w:r>
      <w:r>
        <w:rPr>
          <w:rFonts w:ascii="Arial" w:cs="Arial" w:eastAsia="Arial" w:hAnsi="Arial"/>
          <w:sz w:val="16"/>
          <w:szCs w:val="16"/>
          <w:color w:val="auto"/>
        </w:rPr>
        <w:t>Group, in accordance with §240.l3d-l(b)(1)(ii)(J).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442,173.</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7.18%.</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415,854.</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442,173.</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152" w:right="719" w:bottom="1440" w:gutter="0" w:footer="0" w:header="0"/>
        </w:sectPr>
      </w:pPr>
    </w:p>
    <w:bookmarkStart w:id="4" w:name="page5"/>
    <w:bookmarkEnd w:id="4"/>
    <w:p>
      <w:pPr>
        <w:jc w:val="both"/>
        <w:ind w:left="7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February 13,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Michael Malafronte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Name/Title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8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200"/>
      </w:cols>
      <w:pgMar w:left="46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2019-12-05T17:17:19Z</dcterms:created>
  <dcterms:modified xsi:type="dcterms:W3CDTF">2019-12-05T17:17:19Z</dcterms:modified>
</cp:coreProperties>
</file>