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162560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76200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February 24, 2021</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53"/>
        </w:trPr>
        <w:tc>
          <w:tcPr>
            <w:tcW w:w="3820" w:type="dxa"/>
            <w:vAlign w:val="bottom"/>
          </w:tcPr>
          <w:p>
            <w:pPr>
              <w:jc w:val="center"/>
              <w:ind w:right="201"/>
              <w:spacing w:after="0"/>
              <w:rPr>
                <w:sz w:val="20"/>
                <w:szCs w:val="20"/>
                <w:color w:val="auto"/>
              </w:rPr>
            </w:pPr>
            <w:r>
              <w:rPr>
                <w:rFonts w:ascii="Arial" w:cs="Arial" w:eastAsia="Arial" w:hAnsi="Arial"/>
                <w:sz w:val="18"/>
                <w:szCs w:val="18"/>
                <w:b w:val="1"/>
                <w:bCs w:val="1"/>
                <w:color w:val="auto"/>
                <w:w w:val="98"/>
              </w:rPr>
              <w:t>Delaware</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77"/>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(State or other jurisdiction of</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incorporation)</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Identification No.)</w:t>
            </w:r>
          </w:p>
        </w:tc>
      </w:tr>
      <w:tr>
        <w:trPr>
          <w:trHeight w:val="498"/>
        </w:trPr>
        <w:tc>
          <w:tcPr>
            <w:tcW w:w="3820" w:type="dxa"/>
            <w:vAlign w:val="bottom"/>
          </w:tcPr>
          <w:p>
            <w:pPr>
              <w:jc w:val="center"/>
              <w:ind w:right="181"/>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780" w:type="dxa"/>
            <w:vAlign w:val="bottom"/>
          </w:tcPr>
          <w:p>
            <w:pPr>
              <w:spacing w:after="0"/>
              <w:rPr>
                <w:sz w:val="24"/>
                <w:szCs w:val="24"/>
                <w:color w:val="auto"/>
              </w:rPr>
            </w:pPr>
          </w:p>
        </w:tc>
        <w:tc>
          <w:tcPr>
            <w:tcW w:w="214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02"/>
        </w:trPr>
        <w:tc>
          <w:tcPr>
            <w:tcW w:w="3820" w:type="dxa"/>
            <w:vAlign w:val="bottom"/>
          </w:tcPr>
          <w:p>
            <w:pPr>
              <w:jc w:val="center"/>
              <w:ind w:right="181"/>
              <w:spacing w:after="0"/>
              <w:rPr>
                <w:sz w:val="20"/>
                <w:szCs w:val="20"/>
                <w:color w:val="auto"/>
              </w:rPr>
            </w:pPr>
            <w:r>
              <w:rPr>
                <w:rFonts w:ascii="Arial" w:cs="Arial" w:eastAsia="Arial" w:hAnsi="Arial"/>
                <w:sz w:val="14"/>
                <w:szCs w:val="14"/>
                <w:b w:val="1"/>
                <w:bCs w:val="1"/>
                <w:color w:val="auto"/>
              </w:rPr>
              <w:t>(Address of principal executive offices)</w:t>
            </w:r>
          </w:p>
        </w:tc>
        <w:tc>
          <w:tcPr>
            <w:tcW w:w="2780" w:type="dxa"/>
            <w:vAlign w:val="bottom"/>
          </w:tcPr>
          <w:p>
            <w:pPr>
              <w:spacing w:after="0"/>
              <w:rPr>
                <w:sz w:val="17"/>
                <w:szCs w:val="17"/>
                <w:color w:val="auto"/>
              </w:rPr>
            </w:pP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(Zip Code)</w:t>
            </w:r>
          </w:p>
        </w:tc>
      </w:tr>
      <w:tr>
        <w:trPr>
          <w:trHeight w:val="432"/>
        </w:trPr>
        <w:tc>
          <w:tcPr>
            <w:tcW w:w="3820" w:type="dxa"/>
            <w:vAlign w:val="bottom"/>
          </w:tcPr>
          <w:p>
            <w:pPr>
              <w:spacing w:after="0"/>
              <w:rPr>
                <w:sz w:val="24"/>
                <w:szCs w:val="24"/>
                <w:color w:val="auto"/>
              </w:rPr>
            </w:pPr>
          </w:p>
        </w:tc>
        <w:tc>
          <w:tcPr>
            <w:tcW w:w="2780" w:type="dxa"/>
            <w:vAlign w:val="bottom"/>
          </w:tcPr>
          <w:p>
            <w:pPr>
              <w:jc w:val="right"/>
              <w:ind w:right="1199"/>
              <w:spacing w:after="0"/>
              <w:rPr>
                <w:sz w:val="20"/>
                <w:szCs w:val="20"/>
                <w:color w:val="auto"/>
              </w:rPr>
            </w:pPr>
            <w:r>
              <w:rPr>
                <w:rFonts w:ascii="Arial" w:cs="Arial" w:eastAsia="Arial" w:hAnsi="Arial"/>
                <w:sz w:val="18"/>
                <w:szCs w:val="18"/>
                <w:b w:val="1"/>
                <w:bCs w:val="1"/>
                <w:color w:val="auto"/>
              </w:rPr>
              <w:t>(703) 345-6300</w:t>
            </w:r>
          </w:p>
        </w:tc>
        <w:tc>
          <w:tcPr>
            <w:tcW w:w="2140" w:type="dxa"/>
            <w:vAlign w:val="bottom"/>
          </w:tcPr>
          <w:p>
            <w:pPr>
              <w:spacing w:after="0"/>
              <w:rPr>
                <w:sz w:val="24"/>
                <w:szCs w:val="24"/>
                <w:color w:val="auto"/>
              </w:rPr>
            </w:pPr>
          </w:p>
        </w:tc>
      </w:tr>
    </w:tbl>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130175</wp:posOffset>
            </wp:positionV>
            <wp:extent cx="4869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370" w:lineRule="exact"/>
        <w:rPr>
          <w:sz w:val="24"/>
          <w:szCs w:val="24"/>
          <w:color w:val="auto"/>
        </w:rPr>
      </w:pPr>
    </w:p>
    <w:p>
      <w:pPr>
        <w:ind w:right="280"/>
        <w:spacing w:after="0" w:line="27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36"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414"/>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9"/>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195" w:lineRule="exact"/>
        <w:rPr>
          <w:sz w:val="24"/>
          <w:szCs w:val="24"/>
          <w:color w:val="auto"/>
        </w:rPr>
      </w:pPr>
    </w:p>
    <w:p>
      <w:pPr>
        <w:ind w:right="580"/>
        <w:spacing w:after="0" w:line="27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20"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56" w:lineRule="exact"/>
        <w:rPr>
          <w:sz w:val="24"/>
          <w:szCs w:val="24"/>
          <w:color w:val="auto"/>
        </w:rPr>
      </w:pPr>
    </w:p>
    <w:p>
      <w:pPr>
        <w:ind w:right="120"/>
        <w:spacing w:after="0" w:line="21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785495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12"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68"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On February 24, 2021, Graham Holdings Company issued a press release announcing the Company’s earnings for the fourth quarter and year ended December 31, 2020. A copy of this press release is furnished with this report as an exhibit to this Form 8-K.</w:t>
      </w:r>
    </w:p>
    <w:p>
      <w:pPr>
        <w:spacing w:after="0" w:line="200" w:lineRule="exact"/>
        <w:rPr>
          <w:sz w:val="20"/>
          <w:szCs w:val="20"/>
          <w:color w:val="auto"/>
        </w:rPr>
      </w:pPr>
    </w:p>
    <w:p>
      <w:pPr>
        <w:spacing w:after="0" w:line="23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February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500380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087" w:right="6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43" w:lineRule="exact"/>
        <w:rPr>
          <w:sz w:val="20"/>
          <w:szCs w:val="20"/>
          <w:color w:val="auto"/>
        </w:rPr>
      </w:pPr>
    </w:p>
    <w:p>
      <w:pPr>
        <w:spacing w:after="0"/>
        <w:tabs>
          <w:tab w:leader="none" w:pos="1120" w:val="left"/>
        </w:tabs>
        <w:rPr>
          <w:rFonts w:ascii="Arial" w:cs="Arial" w:eastAsia="Arial" w:hAnsi="Arial"/>
          <w:sz w:val="17"/>
          <w:szCs w:val="17"/>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7"/>
            <w:szCs w:val="17"/>
            <w:u w:val="single" w:color="auto"/>
            <w:color w:val="0000FF"/>
          </w:rPr>
          <w:t>Graham Holdings Company Earnings Release dated February 24, 2021.</w:t>
        </w:r>
      </w:hyperlink>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346075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7"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28575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February 24, 2021</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28575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2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87" w:right="379"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253"/>
        </w:trPr>
        <w:tc>
          <w:tcPr>
            <w:tcW w:w="316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500" w:type="dxa"/>
            <w:vAlign w:val="bottom"/>
            <w:gridSpan w:val="2"/>
          </w:tcPr>
          <w:p>
            <w:pPr>
              <w:ind w:left="1500"/>
              <w:spacing w:after="0"/>
              <w:rPr>
                <w:sz w:val="20"/>
                <w:szCs w:val="20"/>
                <w:color w:val="auto"/>
              </w:rPr>
            </w:pPr>
            <w:r>
              <w:rPr>
                <w:rFonts w:ascii="Arial" w:cs="Arial" w:eastAsia="Arial" w:hAnsi="Arial"/>
                <w:sz w:val="18"/>
                <w:szCs w:val="18"/>
                <w:b w:val="1"/>
                <w:bCs w:val="1"/>
                <w:color w:val="auto"/>
                <w:w w:val="97"/>
              </w:rPr>
              <w:t>Exhibit 99.1</w:t>
            </w:r>
          </w:p>
        </w:tc>
      </w:tr>
      <w:tr>
        <w:trPr>
          <w:trHeight w:val="515"/>
        </w:trPr>
        <w:tc>
          <w:tcPr>
            <w:tcW w:w="3160" w:type="dxa"/>
            <w:vAlign w:val="bottom"/>
          </w:tcPr>
          <w:p>
            <w:pPr>
              <w:jc w:val="right"/>
              <w:ind w:right="510"/>
              <w:spacing w:after="0"/>
              <w:rPr>
                <w:sz w:val="20"/>
                <w:szCs w:val="20"/>
                <w:color w:val="auto"/>
              </w:rPr>
            </w:pPr>
            <w:r>
              <w:rPr>
                <w:rFonts w:ascii="Arial" w:cs="Arial" w:eastAsia="Arial" w:hAnsi="Arial"/>
                <w:sz w:val="18"/>
                <w:szCs w:val="18"/>
                <w:color w:val="auto"/>
              </w:rPr>
              <w:t>Contact:    Wallace R. Cooney</w:t>
            </w:r>
          </w:p>
        </w:tc>
        <w:tc>
          <w:tcPr>
            <w:tcW w:w="556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For Immediate Release</w:t>
            </w:r>
          </w:p>
        </w:tc>
        <w:tc>
          <w:tcPr>
            <w:tcW w:w="620" w:type="dxa"/>
            <w:vAlign w:val="bottom"/>
          </w:tcPr>
          <w:p>
            <w:pPr>
              <w:spacing w:after="0"/>
              <w:rPr>
                <w:sz w:val="24"/>
                <w:szCs w:val="24"/>
                <w:color w:val="auto"/>
              </w:rPr>
            </w:pPr>
          </w:p>
        </w:tc>
      </w:tr>
      <w:tr>
        <w:trPr>
          <w:trHeight w:val="254"/>
        </w:trPr>
        <w:tc>
          <w:tcPr>
            <w:tcW w:w="3160" w:type="dxa"/>
            <w:vAlign w:val="bottom"/>
          </w:tcPr>
          <w:p>
            <w:pPr>
              <w:jc w:val="right"/>
              <w:ind w:right="830"/>
              <w:spacing w:after="0"/>
              <w:rPr>
                <w:sz w:val="20"/>
                <w:szCs w:val="20"/>
                <w:color w:val="auto"/>
              </w:rPr>
            </w:pPr>
            <w:r>
              <w:rPr>
                <w:rFonts w:ascii="Arial" w:cs="Arial" w:eastAsia="Arial" w:hAnsi="Arial"/>
                <w:sz w:val="18"/>
                <w:szCs w:val="18"/>
                <w:color w:val="auto"/>
              </w:rPr>
              <w:t>(703) 345-6470</w:t>
            </w:r>
          </w:p>
        </w:tc>
        <w:tc>
          <w:tcPr>
            <w:tcW w:w="5560" w:type="dxa"/>
            <w:vAlign w:val="bottom"/>
          </w:tcPr>
          <w:p>
            <w:pPr>
              <w:spacing w:after="0"/>
              <w:rPr>
                <w:sz w:val="22"/>
                <w:szCs w:val="22"/>
                <w:color w:val="auto"/>
              </w:rPr>
            </w:pPr>
          </w:p>
        </w:tc>
        <w:tc>
          <w:tcPr>
            <w:tcW w:w="2500" w:type="dxa"/>
            <w:vAlign w:val="bottom"/>
            <w:gridSpan w:val="2"/>
          </w:tcPr>
          <w:p>
            <w:pPr>
              <w:jc w:val="center"/>
              <w:ind w:right="580"/>
              <w:spacing w:after="0"/>
              <w:rPr>
                <w:sz w:val="20"/>
                <w:szCs w:val="20"/>
                <w:color w:val="auto"/>
              </w:rPr>
            </w:pPr>
            <w:r>
              <w:rPr>
                <w:rFonts w:ascii="Arial" w:cs="Arial" w:eastAsia="Arial" w:hAnsi="Arial"/>
                <w:sz w:val="18"/>
                <w:szCs w:val="18"/>
                <w:color w:val="auto"/>
              </w:rPr>
              <w:t>February 24, 2021</w:t>
            </w:r>
          </w:p>
        </w:tc>
      </w:tr>
      <w:tr>
        <w:trPr>
          <w:trHeight w:val="419"/>
        </w:trPr>
        <w:tc>
          <w:tcPr>
            <w:tcW w:w="3160" w:type="dxa"/>
            <w:vAlign w:val="bottom"/>
          </w:tcPr>
          <w:p>
            <w:pPr>
              <w:spacing w:after="0"/>
              <w:rPr>
                <w:sz w:val="24"/>
                <w:szCs w:val="24"/>
                <w:color w:val="auto"/>
              </w:rPr>
            </w:pPr>
          </w:p>
        </w:tc>
        <w:tc>
          <w:tcPr>
            <w:tcW w:w="8060" w:type="dxa"/>
            <w:vAlign w:val="bottom"/>
            <w:gridSpan w:val="3"/>
          </w:tcPr>
          <w:p>
            <w:pPr>
              <w:jc w:val="center"/>
              <w:ind w:right="3180"/>
              <w:spacing w:after="0"/>
              <w:rPr>
                <w:sz w:val="20"/>
                <w:szCs w:val="20"/>
                <w:color w:val="auto"/>
              </w:rPr>
            </w:pPr>
            <w:r>
              <w:rPr>
                <w:rFonts w:ascii="Arial" w:cs="Arial" w:eastAsia="Arial" w:hAnsi="Arial"/>
                <w:sz w:val="18"/>
                <w:szCs w:val="18"/>
                <w:color w:val="auto"/>
                <w:w w:val="99"/>
              </w:rPr>
              <w:t>GRAHAM HOLDINGS COMPANY REPORTS</w:t>
            </w:r>
          </w:p>
        </w:tc>
      </w:tr>
      <w:tr>
        <w:trPr>
          <w:trHeight w:val="243"/>
        </w:trPr>
        <w:tc>
          <w:tcPr>
            <w:tcW w:w="3160" w:type="dxa"/>
            <w:vAlign w:val="bottom"/>
          </w:tcPr>
          <w:p>
            <w:pPr>
              <w:spacing w:after="0"/>
              <w:rPr>
                <w:sz w:val="21"/>
                <w:szCs w:val="21"/>
                <w:color w:val="auto"/>
              </w:rPr>
            </w:pPr>
          </w:p>
        </w:tc>
        <w:tc>
          <w:tcPr>
            <w:tcW w:w="8060" w:type="dxa"/>
            <w:vAlign w:val="bottom"/>
            <w:gridSpan w:val="3"/>
          </w:tcPr>
          <w:p>
            <w:pPr>
              <w:jc w:val="center"/>
              <w:ind w:right="3200"/>
              <w:spacing w:after="0"/>
              <w:rPr>
                <w:sz w:val="20"/>
                <w:szCs w:val="20"/>
                <w:color w:val="auto"/>
              </w:rPr>
            </w:pPr>
            <w:r>
              <w:rPr>
                <w:rFonts w:ascii="Arial" w:cs="Arial" w:eastAsia="Arial" w:hAnsi="Arial"/>
                <w:sz w:val="18"/>
                <w:szCs w:val="18"/>
                <w:color w:val="auto"/>
                <w:w w:val="99"/>
              </w:rPr>
              <w:t>2020 AND FOURTH QUARTER EARNINGS</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ARLINGTON, VA - Graham Holdings Company (NYSE: GHC) today reported net income attributable to common shares of $300.4 million</w:t>
      </w:r>
    </w:p>
    <w:p>
      <w:pPr>
        <w:spacing w:after="0" w:line="4" w:lineRule="exact"/>
        <w:rPr>
          <w:sz w:val="20"/>
          <w:szCs w:val="20"/>
          <w:color w:val="auto"/>
        </w:rPr>
      </w:pPr>
    </w:p>
    <w:p>
      <w:pPr>
        <w:jc w:val="both"/>
        <w:ind w:right="120"/>
        <w:spacing w:after="0" w:line="231" w:lineRule="auto"/>
        <w:rPr>
          <w:sz w:val="20"/>
          <w:szCs w:val="20"/>
          <w:color w:val="auto"/>
        </w:rPr>
      </w:pPr>
      <w:r>
        <w:rPr>
          <w:rFonts w:ascii="Arial" w:cs="Arial" w:eastAsia="Arial" w:hAnsi="Arial"/>
          <w:sz w:val="18"/>
          <w:szCs w:val="18"/>
          <w:color w:val="auto"/>
        </w:rPr>
        <w:t>($58.13 per share) for the year ended December 31, 2020, compared to $327.9 million ($61.21 per share) for the year ended December 31, 2019. For the fourth quarter of 2020, the Company reported net income attributable to common shares of $237.1 million ($47.34 per share), compared to $145.9 million ($27.25 per share) for the same period of 2019.</w:t>
      </w:r>
    </w:p>
    <w:p>
      <w:pPr>
        <w:spacing w:after="0" w:line="109"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COVID-19 pandemic and measures taken to prevent its spread, such as travel restrictions, shelter in place orders and mandatory closures, significantly impacted the Company’s results for 2020, largely from reduced demand for the Company’s products and services. This significant adverse impact is expected to continue into 2021. The Company’s management has taken a variety of measures to reduce costs and to implement changes to business operations. The Company cannot predict the severity or duration of the pandemic, the extent to which demand for the Company’s products and services will be adversely affected or the degree to which financial and operating results will be negatively impacted.</w:t>
      </w:r>
    </w:p>
    <w:p>
      <w:pPr>
        <w:spacing w:after="0" w:line="98"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The results for 2020 and 2019 were affected by a number of items as described in the following paragraphs. Excluding these items, net income attributable to common shares was $158.1 million ($30.60 per share) for 2020, compared to $176.2 million ($32.89 per share) for 2019. Excluding these items, net income attributable to common shares was $57.0 million ($11.38 per share) for the fourth quarter of 2020, compared to $ 48.8 million ($9.13 per share) for the fourth quarter of 2019. (Refer to the Non-GAAP Financial Information schedule attached to this release for additional details.)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2020 are listed below, and fourth quarter activity, if any, is highlighted for each item:</w:t>
      </w:r>
    </w:p>
    <w:p>
      <w:pPr>
        <w:spacing w:after="0" w:line="90" w:lineRule="exact"/>
        <w:rPr>
          <w:sz w:val="20"/>
          <w:szCs w:val="20"/>
          <w:color w:val="auto"/>
        </w:rPr>
      </w:pPr>
    </w:p>
    <w:p>
      <w:pPr>
        <w:ind w:left="180" w:right="180" w:hanging="172"/>
        <w:spacing w:after="0" w:line="260"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$27.9 million in goodwill and other long-lived asset impairment charges (after-tax impact of $20.2 million, or $3.92 per share); $0.3 million of these charges were recorded in the fourth quarter (after-tax impact of $0.2 million, or $0.05 per share);</w:t>
      </w:r>
    </w:p>
    <w:p>
      <w:pPr>
        <w:spacing w:after="0" w:line="37" w:lineRule="exact"/>
        <w:rPr>
          <w:rFonts w:ascii="Arial" w:cs="Arial" w:eastAsia="Arial" w:hAnsi="Arial"/>
          <w:sz w:val="18"/>
          <w:szCs w:val="18"/>
          <w:color w:val="auto"/>
        </w:rPr>
      </w:pPr>
    </w:p>
    <w:p>
      <w:pPr>
        <w:ind w:left="180" w:right="220" w:hanging="172"/>
        <w:spacing w:after="0" w:line="260"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$16.1 million in restructuring charges at the education division (after-tax impact of $11.9 million, or $2.31 per share); $4.0 million of these charges were recorded in the fourth quarter (after-tax impact of $3.0 million, or $0.59 per share);</w:t>
      </w:r>
    </w:p>
    <w:p>
      <w:pPr>
        <w:spacing w:after="0" w:line="37"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$5.7 million in accelerated depreciation at other businesses (after-tax impact of $4.1 million, or $0.80 per share);</w:t>
      </w:r>
    </w:p>
    <w:p>
      <w:pPr>
        <w:spacing w:after="0" w:line="90" w:lineRule="exact"/>
        <w:rPr>
          <w:rFonts w:ascii="Arial" w:cs="Arial" w:eastAsia="Arial" w:hAnsi="Arial"/>
          <w:sz w:val="18"/>
          <w:szCs w:val="18"/>
          <w:color w:val="auto"/>
        </w:rPr>
      </w:pPr>
    </w:p>
    <w:p>
      <w:pPr>
        <w:ind w:left="180" w:right="400" w:hanging="172"/>
        <w:spacing w:after="0" w:line="239"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$2.9 million reduction to operating expenses from property, plant and equipment gains in connection with the spectrum repacking mandate of the Federal Communications Commission (FCC) (after-tax impact of $2.3 million, or $0.44 per share); $0.4 million of these gains were recorded in the fourth quarter (after-tax impact of $0.3 million, or $0.06 per share);</w:t>
      </w:r>
    </w:p>
    <w:p>
      <w:pPr>
        <w:spacing w:after="0" w:line="56" w:lineRule="exact"/>
        <w:rPr>
          <w:rFonts w:ascii="Arial" w:cs="Arial" w:eastAsia="Arial" w:hAnsi="Arial"/>
          <w:sz w:val="18"/>
          <w:szCs w:val="18"/>
          <w:color w:val="auto"/>
        </w:rPr>
      </w:pPr>
    </w:p>
    <w:p>
      <w:pPr>
        <w:ind w:left="180" w:right="20" w:hanging="172"/>
        <w:spacing w:after="0" w:line="260"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$8.5 million in interest expense in the fourth quarter to adjust the fair value of the mandatorily redeemable noncontrolling interest ($1.64 per share);</w:t>
      </w:r>
    </w:p>
    <w:p>
      <w:pPr>
        <w:spacing w:after="0" w:line="37" w:lineRule="exact"/>
        <w:rPr>
          <w:rFonts w:ascii="Arial" w:cs="Arial" w:eastAsia="Arial" w:hAnsi="Arial"/>
          <w:sz w:val="18"/>
          <w:szCs w:val="18"/>
          <w:color w:val="auto"/>
        </w:rPr>
      </w:pPr>
    </w:p>
    <w:p>
      <w:pPr>
        <w:ind w:left="180" w:right="380" w:hanging="172"/>
        <w:spacing w:after="0" w:line="260"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$11.5 million in expenses related to non-operating Separation Incentive Programs (SIP) at the education division and other businesses (after-tax impact of $8.5 million, or $1.64 per share);</w:t>
      </w:r>
    </w:p>
    <w:p>
      <w:pPr>
        <w:spacing w:after="0" w:line="37" w:lineRule="exact"/>
        <w:rPr>
          <w:rFonts w:ascii="Arial" w:cs="Arial" w:eastAsia="Arial" w:hAnsi="Arial"/>
          <w:sz w:val="18"/>
          <w:szCs w:val="18"/>
          <w:color w:val="auto"/>
        </w:rPr>
      </w:pPr>
    </w:p>
    <w:p>
      <w:pPr>
        <w:ind w:left="180" w:right="100" w:hanging="172"/>
        <w:spacing w:after="0" w:line="260"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$60.8 million in net gains on marketable equity securities (after-tax impact of $44.7 million, or $8.64 per share); $61.9 million of gains were recorded in the fourth quarter (after-tax impact of $45.5 million, or $9.08 per share);</w:t>
      </w:r>
    </w:p>
    <w:p>
      <w:pPr>
        <w:spacing w:after="0" w:line="37"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fourth quarter gain of $209.8 million on the sale of Megaphone (after-tax impact of $154.2 million, or $29.84 per share);</w:t>
      </w:r>
    </w:p>
    <w:p>
      <w:pPr>
        <w:spacing w:after="0" w:line="90" w:lineRule="exact"/>
        <w:rPr>
          <w:rFonts w:ascii="Arial" w:cs="Arial" w:eastAsia="Arial" w:hAnsi="Arial"/>
          <w:sz w:val="18"/>
          <w:szCs w:val="18"/>
          <w:color w:val="auto"/>
        </w:rPr>
      </w:pPr>
    </w:p>
    <w:p>
      <w:pPr>
        <w:ind w:left="180" w:right="60" w:hanging="172"/>
        <w:spacing w:after="0" w:line="239"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Non-operating losses, net, of $1.5 million from impairments, sales and write-ups of cost and equity method investments (after-tax impact of $1.1 million, or $0.21 per share); $4.8 million of losses were recorded in the fourth quarter (after-tax impact of $3.5 million, or 0.70 per share);</w:t>
      </w:r>
    </w:p>
    <w:p>
      <w:pPr>
        <w:spacing w:after="0" w:line="56" w:lineRule="exact"/>
        <w:rPr>
          <w:rFonts w:ascii="Arial" w:cs="Arial" w:eastAsia="Arial" w:hAnsi="Arial"/>
          <w:sz w:val="18"/>
          <w:szCs w:val="18"/>
          <w:color w:val="auto"/>
        </w:rPr>
      </w:pPr>
    </w:p>
    <w:p>
      <w:pPr>
        <w:ind w:left="180" w:right="560" w:hanging="172"/>
        <w:spacing w:after="0" w:line="260"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$2.2 million in non-operating foreign currency losses (after-tax impact of $1.6 million, or $0.31 per share); $3.0 million of losses were recorded in the fourth quarter (after-tax impact of $2.3 million, or $0.45 per share); and</w:t>
      </w:r>
    </w:p>
    <w:p>
      <w:pPr>
        <w:spacing w:after="0" w:line="37" w:lineRule="exact"/>
        <w:rPr>
          <w:rFonts w:ascii="Arial" w:cs="Arial" w:eastAsia="Arial" w:hAnsi="Arial"/>
          <w:sz w:val="18"/>
          <w:szCs w:val="18"/>
          <w:color w:val="auto"/>
        </w:rPr>
      </w:pPr>
    </w:p>
    <w:p>
      <w:pPr>
        <w:ind w:left="180" w:right="520" w:hanging="172"/>
        <w:spacing w:after="0" w:line="260" w:lineRule="auto"/>
        <w:tabs>
          <w:tab w:leader="none" w:pos="225" w:val="left"/>
        </w:tabs>
        <w:numPr>
          <w:ilvl w:val="0"/>
          <w:numId w:val="2"/>
        </w:numPr>
        <w:rPr>
          <w:rFonts w:ascii="Arial" w:cs="Arial" w:eastAsia="Arial" w:hAnsi="Arial"/>
          <w:sz w:val="18"/>
          <w:szCs w:val="18"/>
          <w:color w:val="auto"/>
        </w:rPr>
      </w:pPr>
      <w:r>
        <w:rPr>
          <w:rFonts w:ascii="Arial" w:cs="Arial" w:eastAsia="Arial" w:hAnsi="Arial"/>
          <w:sz w:val="18"/>
          <w:szCs w:val="18"/>
          <w:color w:val="auto"/>
        </w:rPr>
        <w:t>$2.9 million in income tax expense related to stock compensation ($0.56 per share); $2.4 million of this expense was recorded in the fourth quarter ($0.48 per share).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8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Items included in the Company’s net income for 2019 are listed below, and fourth quarter activity, if any, is highlighted for each item:</w:t>
      </w:r>
    </w:p>
    <w:p>
      <w:pPr>
        <w:spacing w:after="0" w:line="104" w:lineRule="exact"/>
        <w:rPr>
          <w:sz w:val="20"/>
          <w:szCs w:val="20"/>
          <w:color w:val="auto"/>
        </w:rPr>
      </w:pPr>
    </w:p>
    <w:p>
      <w:pPr>
        <w:ind w:left="180" w:right="120" w:hanging="172"/>
        <w:spacing w:after="0" w:line="255"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$17.1 million provision recorded at Kaplan International related to a Value Added Tax (VAT) receivable at UK Pathways (after-tax impact of $13.9 million, or $2.59 per share);</w:t>
      </w:r>
    </w:p>
    <w:p>
      <w:pPr>
        <w:ind w:left="180" w:right="280" w:hanging="172"/>
        <w:spacing w:after="0" w:line="231"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$11.8 million reduction to operating expenses from property, plant and equipment gains in connection with the spectrum repacking mandate of the FCC (after-tax impact of $9.1 million, or $1.70 per share); $1.1 million of these gains were recorded in the fourth quarter (after-tax impact of $0.8 million, or $0.15 per share);</w:t>
      </w:r>
    </w:p>
    <w:p>
      <w:pPr>
        <w:spacing w:after="0" w:line="55" w:lineRule="exact"/>
        <w:rPr>
          <w:rFonts w:ascii="Arial" w:cs="Arial" w:eastAsia="Arial" w:hAnsi="Arial"/>
          <w:sz w:val="18"/>
          <w:szCs w:val="18"/>
          <w:color w:val="auto"/>
        </w:rPr>
      </w:pPr>
    </w:p>
    <w:p>
      <w:pPr>
        <w:ind w:left="180" w:right="220" w:hanging="172"/>
        <w:spacing w:after="0" w:line="26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$7.8 million fourth quarter intangible asset impairment charge at the television broadcasting division (after-tax impact of $6.0 million, or $1.12 per share);</w:t>
      </w:r>
    </w:p>
    <w:p>
      <w:pPr>
        <w:spacing w:after="0" w:line="37" w:lineRule="exact"/>
        <w:rPr>
          <w:rFonts w:ascii="Arial" w:cs="Arial" w:eastAsia="Arial" w:hAnsi="Arial"/>
          <w:sz w:val="18"/>
          <w:szCs w:val="18"/>
          <w:color w:val="auto"/>
        </w:rPr>
      </w:pPr>
    </w:p>
    <w:p>
      <w:pPr>
        <w:ind w:left="180" w:right="100" w:hanging="172"/>
        <w:spacing w:after="0" w:line="26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$91.7 million fourth quarter settlement gain related to a retiree annuity pension purchase (after-tax impact of $66.9 million, or $12.50 per share);</w:t>
      </w:r>
    </w:p>
    <w:p>
      <w:pPr>
        <w:spacing w:after="0" w:line="37"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$6.6 million in expenses related to a non-operating SIP at the education division (after-tax impact of $5.1 million, or $0.95 per share);</w:t>
      </w:r>
    </w:p>
    <w:p>
      <w:pPr>
        <w:spacing w:after="0" w:line="90" w:lineRule="exact"/>
        <w:rPr>
          <w:rFonts w:ascii="Arial" w:cs="Arial" w:eastAsia="Arial" w:hAnsi="Arial"/>
          <w:sz w:val="18"/>
          <w:szCs w:val="18"/>
          <w:color w:val="auto"/>
        </w:rPr>
      </w:pPr>
    </w:p>
    <w:p>
      <w:pPr>
        <w:ind w:left="180" w:right="400" w:hanging="172"/>
        <w:spacing w:after="0" w:line="26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$98.7 million in net gains on marketable equity securities (after-tax impact of $74.0 million, or $13.82 per share); $49.4 million of these gains were recorded in the fourth quarter (after-tax impact of $37.1 million, or $6.92 per share);</w:t>
      </w:r>
    </w:p>
    <w:p>
      <w:pPr>
        <w:spacing w:after="0" w:line="37"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non-operating gain of $5.1 million from write-ups of cost method investments (after-tax impact of $3.9 million, or $0.73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$29.0 million gain from the sale of Gimlet Media (after-tax impact of $21.7 million, or $4.06 per share);</w:t>
      </w:r>
    </w:p>
    <w:p>
      <w:pPr>
        <w:spacing w:after="0" w:line="90" w:lineRule="exact"/>
        <w:rPr>
          <w:rFonts w:ascii="Arial" w:cs="Arial" w:eastAsia="Arial" w:hAnsi="Arial"/>
          <w:sz w:val="18"/>
          <w:szCs w:val="18"/>
          <w:color w:val="auto"/>
        </w:rPr>
      </w:pPr>
    </w:p>
    <w:p>
      <w:pPr>
        <w:ind w:left="180" w:right="560" w:hanging="172"/>
        <w:spacing w:after="0" w:line="26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$1.1 million in non-operating foreign currency losses (after-tax impact of $0.8 million, or $0.15 per share); $2.4 million in losses were recorded in the fourth quarter (after-tax impact of $1.8 million, or $0.33 per share); and</w:t>
      </w:r>
    </w:p>
    <w:p>
      <w:pPr>
        <w:spacing w:after="0" w:line="37"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$1.7 million in income tax expense related to stock compensation ($0.32 per share).</w:t>
      </w:r>
    </w:p>
    <w:p>
      <w:pPr>
        <w:spacing w:after="0" w:line="144"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Revenue for 2020 was $2,889.1 million, down 1% from $2,932.1 million in 2019</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largely due to the impact of COVID-19. Revenues declined at education and manufacturing, partially offset by increases at television broadcasting, healthcare and other businesses. The Company reported operating income for 2020 of $100.4 million, compared to $144.5 million in 2019. Operating results declined at education, manufacturing and other businesses, partially offset by improvements at television broadcasting and healthcare.</w:t>
      </w:r>
    </w:p>
    <w:p>
      <w:pPr>
        <w:spacing w:after="0" w:line="110"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For the fourth quarter of 2020, revenue was $787.0 million, up 3% from $763.5 million in 2019 largely due to the significant political advertising revenue at television broadcasting and increases at manufacturing and healthcare, partially offset by declines at the education division and other businesses. The Company reported operating income of $46.2 million in the fourth quarter of 2020, compared to $30.3 million in 2019. Operating results improved at television broadcasting and healthcare, partially offset by declines at education, manufacturing and other businesses.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4" w:lineRule="exact"/>
        <w:rPr>
          <w:sz w:val="20"/>
          <w:szCs w:val="20"/>
          <w:color w:val="auto"/>
        </w:rPr>
      </w:pPr>
    </w:p>
    <w:p>
      <w:pPr>
        <w:ind w:right="720"/>
        <w:spacing w:after="0" w:line="260" w:lineRule="auto"/>
        <w:rPr>
          <w:sz w:val="20"/>
          <w:szCs w:val="20"/>
          <w:color w:val="auto"/>
        </w:rPr>
      </w:pPr>
      <w:r>
        <w:rPr>
          <w:rFonts w:ascii="Arial" w:cs="Arial" w:eastAsia="Arial" w:hAnsi="Arial"/>
          <w:sz w:val="18"/>
          <w:szCs w:val="18"/>
          <w:color w:val="auto"/>
        </w:rPr>
        <w:t>Education division revenue in 2020 totaled $1,305.7 million, down 10% from $1,451.8 million in 2019. For the fourth quarter of 2020, education division revenue totaled $313.7 million, down 11% from $354.2 million for the same period of 2019.</w:t>
      </w:r>
    </w:p>
    <w:p>
      <w:pPr>
        <w:spacing w:after="0" w:line="9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Kaplan reported operating income of $11.6 million for 2020, a 76% decrease from $ 48.1 million in 2019; Kaplan reported an operating loss for the fourth quarter of 2020 of $8.7 million, compared to operating income of $3.3 million in the fourth quarter of 2019.</w:t>
      </w:r>
    </w:p>
    <w:p>
      <w:pPr>
        <w:spacing w:after="0" w:line="9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COVID-19 pandemic adversely impacted Kaplan’s operating results for 2020. The impact began in February and continued through the remainder of 2020.</w:t>
      </w:r>
    </w:p>
    <w:p>
      <w:pPr>
        <w:spacing w:after="0" w:line="9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Kaplan serves a large number of students who travel to other countries to study a second language, prepare for licensure, or pursue a higher education degree. Government-imposed travel restrictions and school closures arising from COVID-19 had a significant negative impact on the ability of international students to travel and attend Kaplan’s programs, particularly Kaplan International’s Language programs. In addition, most licensing bodies and administrators of standardized exams postponed or canceled scheduled examinations due to COVID-19, resulting in a significant number of students deciding to defer their studies, negatively impacting Kaplan’s exam preparation education businesses. Overall, this is expected to continue to adversely impact Kaplan’s revenues and operating results in 2021, particularly at Kaplan International Languages.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-more-</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873" w:right="359" w:bottom="1440" w:gutter="0" w:footer="0" w:header="0"/>
        </w:sectPr>
      </w:pPr>
    </w:p>
    <w:bookmarkStart w:id="6" w:name="page7"/>
    <w:bookmarkEnd w:id="6"/>
    <w:p>
      <w:pPr>
        <w:ind w:right="460"/>
        <w:spacing w:after="0" w:line="260" w:lineRule="auto"/>
        <w:rPr>
          <w:sz w:val="20"/>
          <w:szCs w:val="20"/>
          <w:color w:val="auto"/>
        </w:rPr>
      </w:pPr>
      <w:r>
        <w:rPr>
          <w:rFonts w:ascii="Arial" w:cs="Arial" w:eastAsia="Arial" w:hAnsi="Arial"/>
          <w:sz w:val="18"/>
          <w:szCs w:val="18"/>
          <w:color w:val="auto"/>
        </w:rPr>
        <w:t>To help mitigate the adverse impact of COVID-19, Kaplan implemented a number of cost reduction and restructuring activities across its businesses.</w:t>
      </w:r>
    </w:p>
    <w:p>
      <w:pPr>
        <w:spacing w:after="0" w:line="92"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Related to these restructuring activities, for 2020, Kaplan recorded $13.5 million in lease restructuring costs (including $3.6 million of accelerated depreciation expense) and $6.2 million in severance restructuring costs. Kaplan also recorded $12.3 million in lease impairment charges in connection with these plans in 2020 (including $2.2 million in property, plant and equipment write-downs). Further, Kaplan recorded $12.8 million in non-operating pension expense in 2020 related to workforce reductions completed in the second and third quarters. For the fourth quarter, Kaplan recorded $1.0 million in lease restructuring costs (including $0.2 million in accelerated depreciation expense), $3.1 million in severance restructuring costs, and $0.3 million in lease impairment charges.</w:t>
      </w:r>
    </w:p>
    <w:p>
      <w:pPr>
        <w:spacing w:after="0" w:line="11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Kaplan management is continuing to monitor the ongoing COVID-19 disruptions and changes in its operating environment and may develop and implement further restructuring activities in 2021.</w:t>
      </w:r>
    </w:p>
    <w:p>
      <w:pPr>
        <w:spacing w:after="0" w:line="9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Kaplan also accelerated the development and promotion of various online programs and solutions, rapidly transitioned most of its classroom-based programs online and addressed the individual needs of its students and partners, substantially reducing the disruption from COVID-19 while simultaneously adding important new product offerings and operating capabilities. Further, in the fourth quarter of 2020, Kaplan combined its three primary divisions based in the United States (Kaplan Test Prep, Kaplan Professional, and Kaplan Higher Education) into one business known as Kaplan North America (KNA). This combination is designed to enhance Kaplan’s competitiveness by better leveraging its diversified academic and professional portfolio, as well as its relationships with students, universities and businesses. For financial reporting purposes, KNA will be reported in two segments: Higher Education and Supplemental Education (combining Kaplan Test Prep and Kaplan Professional (U.S.) into one reporting segment).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80" w:type="dxa"/>
            <w:vAlign w:val="bottom"/>
            <w:gridSpan w:val="3"/>
          </w:tcPr>
          <w:p>
            <w:pPr>
              <w:jc w:val="right"/>
              <w:ind w:right="580"/>
              <w:spacing w:after="0"/>
              <w:rPr>
                <w:sz w:val="20"/>
                <w:szCs w:val="20"/>
                <w:color w:val="auto"/>
              </w:rPr>
            </w:pPr>
            <w:r>
              <w:rPr>
                <w:rFonts w:ascii="Arial" w:cs="Arial" w:eastAsia="Arial" w:hAnsi="Arial"/>
                <w:sz w:val="13"/>
                <w:szCs w:val="13"/>
                <w:b w:val="1"/>
                <w:bCs w:val="1"/>
                <w:color w:val="auto"/>
              </w:rPr>
              <w:t>Three Months Ended</w:t>
            </w: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rPr>
              <w:t>Twelve Months Ended</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2020</w:t>
            </w: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color w:val="auto"/>
              </w:rPr>
              <w:t>2019</w:t>
            </w:r>
          </w:p>
        </w:tc>
        <w:tc>
          <w:tcPr>
            <w:tcW w:w="120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color w:val="auto"/>
              </w:rPr>
              <w:t>% Change</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color w:val="auto"/>
              </w:rPr>
              <w:t>2019</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color w:val="auto"/>
              </w:rPr>
              <w:t>% Change</w:t>
            </w:r>
          </w:p>
        </w:tc>
        <w:tc>
          <w:tcPr>
            <w:tcW w:w="0" w:type="dxa"/>
            <w:vAlign w:val="bottom"/>
          </w:tcPr>
          <w:p>
            <w:pPr>
              <w:spacing w:after="0"/>
              <w:rPr>
                <w:sz w:val="1"/>
                <w:szCs w:val="1"/>
                <w:color w:val="auto"/>
              </w:rPr>
            </w:pPr>
          </w:p>
        </w:tc>
      </w:tr>
      <w:tr>
        <w:trPr>
          <w:trHeight w:val="178"/>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165,796</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653,892</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94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3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197,740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2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750,245</w:t>
            </w: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auto"/>
              </w:rPr>
              <w:t>72,264</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67,892</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b w:val="1"/>
                <w:bCs w:val="1"/>
                <w:color w:val="auto"/>
              </w:rPr>
              <w:t>316,095</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305,672</w:t>
            </w: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Supplemental education</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auto"/>
              </w:rPr>
              <w:t>73,446</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87,100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b w:val="1"/>
                <w:bCs w:val="1"/>
                <w:color w:val="auto"/>
              </w:rPr>
              <w:t>327,087</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388,814</w:t>
            </w: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auto"/>
              </w:rPr>
              <w:t>3,205</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2,359</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36</w:t>
            </w:r>
          </w:p>
        </w:tc>
        <w:tc>
          <w:tcPr>
            <w:tcW w:w="24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b w:val="1"/>
                <w:bCs w:val="1"/>
                <w:color w:val="auto"/>
              </w:rPr>
              <w:t>12,643</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9,480</w:t>
            </w: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(1,018)</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(4,004)</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(2,461)</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313,693</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354,214</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1,305,713</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1,451,750</w:t>
            </w: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3940" w:type="dxa"/>
            <w:vAlign w:val="bottom"/>
            <w:vMerge w:val="continue"/>
          </w:tcPr>
          <w:p>
            <w:pPr>
              <w:spacing w:after="0"/>
              <w:rPr>
                <w:sz w:val="17"/>
                <w:szCs w:val="17"/>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(6,008)</w:t>
            </w: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15,248</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94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3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6,533</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42,129</w:t>
            </w:r>
          </w:p>
        </w:tc>
        <w:tc>
          <w:tcPr>
            <w:tcW w:w="110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auto"/>
              </w:rPr>
              <w:t>2,481</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4,147</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b w:val="1"/>
                <w:bCs w:val="1"/>
                <w:color w:val="auto"/>
              </w:rPr>
              <w:t>24,364</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13,960</w:t>
            </w: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Supplemental education</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auto"/>
              </w:rPr>
              <w:t>6,856</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4,750</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44</w:t>
            </w:r>
          </w:p>
        </w:tc>
        <w:tc>
          <w:tcPr>
            <w:tcW w:w="24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b w:val="1"/>
                <w:bCs w:val="1"/>
                <w:color w:val="auto"/>
              </w:rPr>
              <w:t>19,705</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34,487</w:t>
            </w:r>
          </w:p>
        </w:tc>
        <w:tc>
          <w:tcPr>
            <w:tcW w:w="11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(7,295)</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(8,067)</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(18,266)</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(26,891)</w:t>
            </w: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(4,367)</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(4,027)</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(17,174)</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(14,915)</w:t>
            </w: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(342)</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(12,278)</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(693)</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(8,675)</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11,604</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48,072</w:t>
            </w: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 States. Kaplan International revenue decreased 13% in 2020 (12% on a constant currency basis) due to COVID-19 disruptions at Languages, and to a lesser extent at U.S. and Australia Pathways and UK Professional. These revenue disruptions were offset in part by growth at UK Pathways and Australia. Revenue decreased 16% in the fourth quarter of 2020 (19% on a constant currency basis) for the same COVID-19 factors that impacted the full year. The decline in Kaplan International operating income is mostly attributable to $ 55 million in losses incurred at Languages due to significant COVID-19 disruptions, and to a much lesser extent, to COVID-19 disruptions at U.S. and Australia Pathways and UK Professional, partially offset by the $17.1 million VAT provision recorded at UK Pathways in the third quarter of 2019, and improved results at UK Pathways and Australia. Kaplan International’s 2020 results include $4.5 million of lease restructuring costs (including $1.6 million in accelerated depreciation expense) and $ 4.4 million of severance restructuring costs. Kaplan International reported an operating loss of $6.0 million for the fourth quarter of 2020, compared to operating income of $6.5 million in the fourth quarter of 2019; the decline was due to significant losses at Languages. Kaplan International’s results for the fourth quarter of 2020 include $2.2 million of severance restructuring costs and $0.6 million in lease restructuring costs.</w:t>
      </w:r>
    </w:p>
    <w:p>
      <w:pPr>
        <w:spacing w:after="0" w:line="112"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Due to the continuation of travel restrictions imposed as a result of COVID-19, Kaplan expects the disruption of its Languages business operating environment to continue into 2021.</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73" w:right="339" w:bottom="1440" w:gutter="0" w:footer="0" w:header="0"/>
        </w:sectPr>
      </w:pPr>
    </w:p>
    <w:bookmarkStart w:id="7" w:name="page8"/>
    <w:bookmarkEnd w:id="7"/>
    <w:p>
      <w:pPr>
        <w:ind w:right="240"/>
        <w:spacing w:after="0" w:line="229" w:lineRule="auto"/>
        <w:rPr>
          <w:sz w:val="20"/>
          <w:szCs w:val="20"/>
          <w:color w:val="auto"/>
        </w:rPr>
      </w:pPr>
      <w:r>
        <w:rPr>
          <w:rFonts w:ascii="Arial" w:cs="Arial" w:eastAsia="Arial" w:hAnsi="Arial"/>
          <w:sz w:val="18"/>
          <w:szCs w:val="18"/>
          <w:color w:val="auto"/>
        </w:rPr>
        <w:t>In 2017, HMRC raised assessments against Kaplan UK Pathways for VAT relating to 2014 to 2017, which were paid by Kaplan. Kaplan challenged these assessments as it believed it had met all requirements under U.K. VAT law and was entitled to recover the amounts from assessments and subsequent payments. Due to developments in the case, in the third quarter of 2019, the Company recorded a full provision against a receivable to expense, of which $17.1 million related to years 2014 to 2018. The Company recorded additional annual VAT expense at the UK Pathways business of approximately $6.0 million related to this matter for 2019 and approximately $8.4 million for 2020. In November 2020, the court ruled against Kaplan in this case.</w:t>
      </w:r>
    </w:p>
    <w:p>
      <w:pPr>
        <w:spacing w:after="0" w:line="11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Higher Education primarily includes the results of Kaplan as a service provider to higher education institutions. In 2020, Higher Education revenue grew 3% due to an increase in the Purdue Global fee recorded and revenue from new university agreements. During 2020, Kaplan recorded $ 31.6 million in fees from Purdue Global in its Higher Education operating results based on an assessment of its collectability under the TOSA; $ 9.0 million in fees are included in the fourth quarter of 2020. During 2019, Kaplan recorded $12.3 million in fees from Purdue Global, with $4.2 million in fees included in the fourth quarter of 2019. Purdue Global experienced increased enrollments and higher retention rates for 2020, which resulted in improved Higher Education results. Kaplan Higher Education recorded $3.6 million in lease restructuring costs in 2020, of which $0.2 million was accelerated depreciation expense. In 2020, Higher Education also incurred compensation and other costs that are not reimbursable under the TOSA.</w:t>
      </w:r>
    </w:p>
    <w:p>
      <w:pPr>
        <w:spacing w:after="0" w:line="115"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 education businesses. Supplemental Education revenue declined 16% in 2020 and in the fourth quarter of 2020 due mostly to the postponement of various standardized test and certification exam dates due to COVID-19, and a decline in retail comprehensive test preparation demand, offset in part by growth in real estate, architecture and engineering programs. Operating results declined 43% in 2020 due to revenue declines, $5.4 million of lease restructuring costs ($1.8 million of which was accelerated depreciation) and $ 1.8 million in severance restructuring costs. Operating results improved 44% for the fourth quarter of 2020, primarily due to savings from restructuring activities implemented in 2020, partially offset by $0.9 million in severance restructuring costs and $0.3 million in lease restructuring costs recorded in the fourth quarter of 2020.</w:t>
      </w:r>
    </w:p>
    <w:p>
      <w:pPr>
        <w:spacing w:after="0" w:line="115"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declined in 2020 due to lower compensation costs.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44"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Revenue at the television broadcasting division increased 13% to $525.2 million in 2020, from $463.5 million in 2019. The revenue increase is due to an $ 88.5 million increase in political advertising revenue and a $12.4 million increase in retransmission revenues, partially offset by reduced local and national advertising demand related to the COVID-19 pandemic. In 2020 and 2019, the television broadcasting division recorded $2.9 million and $ 11.8 million, respectively, in reductions to operating expenses related to property, plant and equipment gains due to new equipment received at no cost in connection with the spectrum repacking mandate of the FCC. In the fourth quarter of 2019, the television broadcasting division recorded a $7.8 million intangible asset impairment charge on FCC licenses at the WSLS (Roanoke-NBC) and WCWJ (Jacksonville-CW) stations acquired in 2017, due to a decline in local market conditions. Operating income for 2020 was up 27% to $194.5 million, from $152.7 million in 2019, due to higher revenues and the 2019 intangible asset impairment charge, partially offset by higher network fees and lower property, plant and equipment gains. While per subscriber rates from cable and satellite providers have grown, overall cable and satellite subscribers are down due to cord cutting, resulting in low growth in retransmission revenue net of network fees in 2020, which is expected to continue in the future.</w:t>
      </w:r>
    </w:p>
    <w:p>
      <w:pPr>
        <w:spacing w:after="0" w:line="116"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For the fourth quarter of 2020, revenue increased 42% to $175.2 million, from $123.5 million in 2019. The revenue increase is due to a $50.3 million increase in political advertising revenue and a $5.2 million increase in retransmission revenues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In the fourth quarter of 2020 and 2019, the television broadcasting division recorded $0.4 million and $1.1 million, respectively, in reductions to operating expenses related to property, plant and equipment gains due to new equipment received at no cost in connection with the spectrum repacking mandate of the FCC. Operating income for the fourth quarter of 2020 improved to $82.4 million, from $35.8 million in the same period of 2019, due to higher revenues and the 2019 intangible asset impairment charge, partially offset by higher network fees.</w:t>
      </w:r>
    </w:p>
    <w:p>
      <w:pPr>
        <w:spacing w:after="0" w:line="110"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2020, significant political advertising revenues have largely driven strong operating results, while the postponement of the 2020 summer Olympics, the reduction and uncertainty surrounding broadcast sporting events, and overall reduced advertising demand related to the COVID-19 pandemic have adversely impacted advertising revenue and the operating results at the television broadcasting division. However, local and national advertising revenues have improved steadily through 2020 since the onset of the pandemic.</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7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Manufacturing includes four businesses: Hoover Treated Wood Products, Inc., a supplier of pressure impregnated kiln-dried lumber and plywood products for fire retardant and preservative applications; Dekko, a manufacturer of electrical workspace solutions, architectural lighting and electrical components and assemblies; Joyce/Dayton Corp., a manufacturer of screw jacks and other linear motion systems; and Forney, a global supplier of products and systems that control and monitor combustion processes in electric utility and industrial applications.</w:t>
      </w:r>
    </w:p>
    <w:p>
      <w:pPr>
        <w:spacing w:after="0" w:line="100"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Manufacturing revenues declined 7% in 2020 due primarily to a significant reduction in product demand at Dekko, particularly in the commercial office electrical products, hospitality, transportation and industrial sectors. Operating income decreased 40% in 2020 due to a significant decline in Dekko results from lower revenues, partially offset by improved results at Hoover from significant gains on inventory sales and reduced operating costs. Manufacturing revenue increased 5% in the fourth quarter of 2020, due primarily to improved revenues at Forney and increased revenue at Hoover due to higher wood prices but lower product demand, partially offset by continued reduced demand at Dekko. Operating income was down in the fourth quarter of 2020 due to declines at Dekko and Hoover, offset by improved results at Forney. While wood prices declined starting in October 2020, wood prices increased later in the fourth quarter of 2020, resulting in overall modest losses at Hoover on inventory sales in the fourth quarter of 2020, partially offsetting significant gains on inventory sales at Hoover in the first nine months of 2020.</w:t>
      </w:r>
    </w:p>
    <w:p>
      <w:pPr>
        <w:spacing w:after="0" w:line="109"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Starting in the second half of March 2020, certain of Dekko, Joyce/Dayton and Hoover’s manufacturing plants began operating at reduced levels due to lower product demand and other jurisdictional factors related to the COVID-19 pandemic. The manufacturing businesses are tightly managing expenses and continuing with cost reduction plans to mitigate the impact of lower product demand. Overall, this is expected to continue to adversely impact manufacturing revenues and operating results into 2021, particularly at Dekko.</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4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Graham Healthcare Group (GHG) provides home health and hospice services in three states. In December 2019, GHG acquired a 75% interest in CSI Pharmacy Holding Company, LLC (CSI), a Wake Village, TX-based company, which coordinates the prescriptions and nursing care for patients receiving in-home infusion treatments. Healthcare revenues increased 23% in 2020, due to the CSI acquisition, offset by revenue declines from home health services due to lower patient volumes.</w:t>
      </w:r>
    </w:p>
    <w:p>
      <w:pPr>
        <w:spacing w:after="0" w:line="11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In the second quarter of 2020, GHG received $7.4 million from the Federal CARES Act Provider Relief Fund. GHG did not apply for these funds; they were disbursed to GHG as a Medicare provider under the CARES Act. Under the Department of Health and Human Services guidelines, these funds may be used to offset revenue reductions and expenses incurred in connection with the COVID -19 pandemic. Of this amount, GHG recorded $5.7 million in revenue in the second and third quarters of 2020, to partially offset the impact of revenue reductions due to the COVID-19 pandemic from the curtailment of elective procedures by health systems and other factors. The remaining amount of $1.7 million was recorded as a credit to operating costs in the second quarter of 2020 to partially offset the impact of costs incurred to procure personal protective equipment for GHG employees and other COVID-19 related costs. The improvement in GHG operating results in 2020 is due to improved results from home health and hospice services and operating income from the CSI acquisition.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4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On January 31, 2019, the Company acquired two automotive dealerships, Lexus of Rockville and Honda of Tysons Corner, from Sonic Automotive. As part of the transaction, the Company entered into an agreement with Christopher J. Ourisman, a member of the Ourisman Automotive Group family of dealerships, to operate and manage the dealerships. In the fourth quarter of 2019, the Company and Mr. Ourisman commenced operations at a new Jeep automotive dealership, which began generating sales in January 2020 as Ourisman Jeep of Bethesda. Mr. Ourisman and his team of industry professionals operate and manage the dealerships; Graham Holdings Company holds a 90% stake in all three dealerships. As a result of the COVID-19 pandemic and the related recessionary conditions, the Company’s automotive dealerships experienced reduced demand for sales and service beginning in March 2020. Given the uncertain and challenging operating environment for automotive dealerships, the Company completed a goodwill and other long-lived assets impairment review of its automotive dealerships in the first quarter of 2020, resulting in a $6.7 million intangible assets impairment charge.</w:t>
      </w:r>
    </w:p>
    <w:p>
      <w:pPr>
        <w:spacing w:after="0" w:line="109"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Revenues for 2020 increased due to the new Jeep dealership and one less month of ownership in 2019, partially offset by reduced demand for sales and service in the first half of 2020 as a result of the pandemic. Operating results for 2020 declined from the prior year due to losses in the first half of 2020 related to the pandemic, in addition to the $6.7 million impairment charge recorded in the first quarter of 2020. Revenues increased in the fourth quarter of 2020 due to the new Jeep dealership and overall sales growth at the other dealerships; operating earnings also increased in the fourth quarter of 2020.</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20"/>
          </w:cols>
          <w:pgMar w:left="320" w:top="103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Clyde’s Restaurant Group</w:t>
      </w:r>
    </w:p>
    <w:p>
      <w:pPr>
        <w:spacing w:after="0" w:line="14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On July 31, 2019, the Company acquired Clyde’s Restaurant Group (CRG). CRG owns and operates eleven restaurants and entertainment venues in the Washington, D.C. metropolitan area, including Old Ebbitt Grill and The Hamilton. As a result of the COVID-19 pandemic, CRG temporarily closed all of its restaurants and venues in March 2020, pursuant to government orders, maintaining limited operations for delivery and pickup. At the time, CRG had temporarily laid off many of its employees due to the uncertainty as to the timing, safety and other details regarding reopening. Given the uncertain and challenging operating environment for the restaurant industry, the Company completed a goodwill and other long-lived assets impairment review of CRG in the first quarter of 2020, resulting in a $9.7 million goodwill and intangible assets impairment charge.</w:t>
      </w:r>
    </w:p>
    <w:p>
      <w:pPr>
        <w:spacing w:after="0" w:line="109"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 the second quarter of 2020, CRG began limited outdoor and indoor dining services at most of its restaurants and made the decision to close its restaurant and entertainment venue in Columbia, Maryland effective July 19, 2020, resulting in accelerated depreciation of property, plant and equipment totaling $5.6 million recorded in the second and third quarters of 2020. The operations were negatively impacted for most of the year by pandemic related restrictions as well as disturbances from sporadic civil and political unrest in the city and region. In December 2020, CRG temporarily closed its restaurants in Maryland and the District of Columbia for the second time, pursuant to government orders, maintaining limited operations for delivery and pickup; these restaurants reopened again for limited indoor dining service in January and February of 2021. While many of CRG’s laid-off employees have been rehired, CRG is uncertain as to the timing and other details regarding a full reopening. While CRG revenues have experienced a significant adverse impact as a result of the pandemic, such revenues improved steadily in each of the three quarters since the onset of the pandemic, despite the December 2020 restaurant closings. Overall, CRG incurred significant operating losses in 2020 and the fourth quarter of 2020 due to limited revenues and costs incurred to maintain its facilities, support its employees and to reopen the restaurants for limited outdoor and indoor services, in addition to the impairment and accelerated depreciation charges recorded in 2020. CRG continues to develop and implement initiatives to increase sales and reduce costs to mitigate the impact of COVID-19. The pandemic and public disturbances are expected to continue to adversely impact CRG revenues and operating results in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Code3 and Decile</w:t>
      </w:r>
    </w:p>
    <w:p>
      <w:pPr>
        <w:spacing w:after="0" w:line="142"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July 2020, SocialCode announced it would be splitting into two separate companies. SocialCode’s agency business continues as a leading digital marketing agency, operating under the new name, Code3. Code3 is a performance marketing agency focused on driving performance for brands through three core elements of digital success: media, creative and commerce. The legacy business surrounding the Audience Intelligence Platform (AIP) continues as a separate software company, operating under the new name, Decile. Decile uses first-party customer data to deliver business intelligence and customer insights to its customers. As a result of these changes, Code3 and Decile are now reported in other businesses.</w:t>
      </w:r>
    </w:p>
    <w:p>
      <w:pPr>
        <w:spacing w:after="0" w:line="111"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On a combined basis, Code3 and Decile revenues declined in 2020 and the fourth quarter of 2020, due to reduced marketing spending by advertising clients as a result of the recessionary environment from the COVID-19 pandemic. In the second quarter of 2020, a $1.5 million lease impairment charge was recorded in connection with a restructuring plan that included other cost reduction initiatives to mitigate the adverse impact of COVID-19 on advertising demand, which is expected to continue in 2021. These initiatives included the approval of a SIP that reduced the number of employees, resulting in $1.0 million in non-operating pension expense in the second quarter of 2020. On a combined basis, Code3 and Decile reported an operating loss for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Megaphone</w:t>
      </w:r>
    </w:p>
    <w:p>
      <w:pPr>
        <w:spacing w:after="0" w:line="14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Megaphone provides podcast technology for publishers and advertisers through the Megaphone platform and Megaphone Targeted Marketplace (MTM). Megaphone experienced rapid revenue growth from both advertising and platform sales until it was sold by the Company in December 2020 to Spotify. The Company recorded a pre-tax gain of $209.8 million on the sale of Megaphone that is included in other non-operating income in the fourth quarter of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42"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On May 15, 2020, the Company acquired Framebridge, Inc., a custom framing service company, headquartered in Washington, D.C., with two retail locations in the D.C. metropolitan area and a manufacturing facility in Lexington, KY. In the third quarter of 2020, Framebridge opened a new retail location in Brooklyn, N.Y. and two new retail locations in the Atlanta, GA area. In the fourth quarter of 2020, Framebridge opened a second manufacturing facility in Lexington, KY. Framebridge revenues have grown each month since the May 2020 acquisition, particularly in the fourth quarter of 2020. The Company previously disclosed a minority investment interest in Framebridge. As an investment stage business, Framebridge reported operating losses in 2020.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20"/>
          </w:cols>
          <w:pgMar w:left="320" w:top="103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Other</w:t>
      </w:r>
    </w:p>
    <w:p>
      <w:pPr>
        <w:spacing w:after="0" w:line="14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two investment stage businesses, Pinna and CyberVista. Foreign Policy, CyberVista and Pinna reported revenue increases in 2020. Losses from each of these four businesses in 2020 adversely affected operating results.</w:t>
      </w:r>
    </w:p>
    <w:p>
      <w:pPr>
        <w:spacing w:after="0" w:line="111"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Overall, for 2020, operating revenues for other businesses increased due largely to the Framebridge and automotive dealership acquisitions and growth at Megaphone, partially offset by declines at Code3/Decile. Revenues from other businesses were down slightly in the fourth quarter of 2020, due to declines at CRG and Code3/Decile, partially offset by revenues from the Framebridge acquisition and increases at the automotive dealerships. CRG incurred significant operating losses in 2020 and the fourth quarter of 2020 due to challenging operating conditions that began in March 2020 and the goodwill and other long-lived asset impairment charges recorded in the first quarter of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44"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46"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At December 31, 2020, the Company held an approximate 12% interest in Intersection Holdings, LLC, a company that provides digital marketing and advertising services and products for cities, transit systems, airports, and other public and private spaces. The Company also holds interests in a number of home health and hospice joint ventures, and several other affiliates. The Company recorded equity in earnings of affiliates of $6.7 million and $11.7 million for 2020 and 2019, respectively. The Company recorded $3.6 million in write-downs in equity in earnings of affiliates related to two of its investments in the first quarter of 2020.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46"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On June 30, 2020, the Company repaid the £60 million borrowings due under the Kaplan Credit Agreement, financed by a £60 million drawdown on the Company’s $300 million revolving credit facility.</w:t>
      </w:r>
    </w:p>
    <w:p>
      <w:pPr>
        <w:spacing w:after="0" w:line="9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connection with the auto dealership acquisition that closed on January 31, 2019, a subsidiary of the Company borrowed $30 million to finance a portion of the acquisition and entered into an interest rate swap to fix the interest rate on the debt at 4.7% per annum. The subsidiary is required to repay the loan over a 10-year period by making monthly installment payments. In connection with the CSI acquisition that closed in December 2019, a subsidiary of GHG borrowed $ 11.25 million to finance a portion of the acquisition. The debt bears interest at 4.35% per annum. The GHG subsidiary is required to repay the loan over a five-year period by making monthly installment payments.</w:t>
      </w:r>
    </w:p>
    <w:p>
      <w:pPr>
        <w:spacing w:after="0" w:line="11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Company incurred net interest expense of $34.4 million in 2020, compared to $23.6 million in 2019; net interest expense totaled $15.1 million and $5.8 million for the fourth quarter of 2020 and 2019, respectively. The Company recorded interest expense of $8.5 million to adjust the fair value of the mandatorily redeemable noncontrolling interest at GHG in the fourth quarter of 2020</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At December 31, 2020, the Company had $512.6 million in borrowings outstanding at an average interest rate of 5.1%, and cash, marketable securities and other investments of $1,010.6 million. At December 31, 2020, the Company had £55 million ($74.7 million) outstanding on its $300 million revolving credit facility, in connection with the refinancing of the debt repaid under the Kaplan Credit Agreement. In Management’s opinion, the Company will have sufficient financial resources to meet its business requirements in the next twelve months, including working capital requirements, capital expenditures, interest payments and dividends. At December 31, 2019, the Company had $512.8 million in borrowings outstanding at an average interest rate of 5.1%, and cash, marketable securities and other investments of $814.0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4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Company recorded net non-operating pension and postretirement benefit income of $59.3 million in 2020, compared to $ 162.8 million in 2019. The Company recorded $18.3 million for the fourth quarter of 2020, compared to $111.1 million for the fourth quarter of 2019.</w:t>
      </w:r>
    </w:p>
    <w:p>
      <w:pPr>
        <w:spacing w:after="0" w:line="9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In the third quarter of 2020, the Company recorded $7.8 million in expenses related to a SIP at the education division. In the second quarter of 2020, the Company recorded $6.0 million in expenses related to a SIP at the education division and other businesses.</w:t>
      </w:r>
    </w:p>
    <w:p>
      <w:pPr>
        <w:spacing w:after="0" w:line="92"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In the fourth quarter of 2019, the Company’s pension plan purchased a group annuity contract from an insurance company for a group of retirees. As a result, the Company recorded a $91.7 million settlement gain in the fourth</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75" w:right="339" w:bottom="1440" w:gutter="0" w:footer="0" w:header="0"/>
        </w:sectPr>
      </w:pPr>
    </w:p>
    <w:bookmarkStart w:id="11" w:name="page12"/>
    <w:bookmarkEnd w:id="11"/>
    <w:p>
      <w:pPr>
        <w:ind w:right="120"/>
        <w:spacing w:after="0" w:line="260" w:lineRule="auto"/>
        <w:rPr>
          <w:sz w:val="20"/>
          <w:szCs w:val="20"/>
          <w:color w:val="auto"/>
        </w:rPr>
      </w:pPr>
      <w:r>
        <w:rPr>
          <w:rFonts w:ascii="Arial" w:cs="Arial" w:eastAsia="Arial" w:hAnsi="Arial"/>
          <w:sz w:val="18"/>
          <w:szCs w:val="18"/>
          <w:color w:val="auto"/>
        </w:rPr>
        <w:t>quarter of 2019. In the second quarter of 2019, the Company recorded $6.6 million in non-operating pension expense related to a SIP at the education division.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Marketable Equity Securities, Net</w:t>
      </w:r>
    </w:p>
    <w:p>
      <w:pPr>
        <w:spacing w:after="0" w:line="146"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Company recognized $ 60.8 million and $ 98.7 million in net gains on marketable equity securities in 2020 and 2019, respectively. The Company recognized $61.9 million and $49.4 million in net gains on marketable equity securities in the fourth quarter of 2020 and 2019,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4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Company recorded total other non-operating income, net, of $214.5 million in 2020, compared to $32.4 million in 2019. The 2020 amounts included $213.3 million in net gains related to sales of businesses and contingent consideration; $4.2 million in fair value increases on cost method investments; $3.7 million gain on acquiring a controlling interest in an equity affiliate; $1.4 million net gain on sales of equity affiliates and other items; partially offset by $7.3 million in impairments on cost method investments; and $2.2 million in foreign currency losses. The 2019 non-operating income, net, included a $29.0 million gain on the sale of the Company’s interest in Gimlet Media; $5.1 million in fair value increases on cost method investments; and other items; partially offset by $1.1 million in foreign currency losses.</w:t>
      </w:r>
    </w:p>
    <w:p>
      <w:pPr>
        <w:spacing w:after="0" w:line="111"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For the fourth quarter of 2020, the Company recorded other non-operating income, net, of $ 203.5 million, compared to other non-operating expense, net of $3.7 million for the fourth quarter of 2019. The 2020 non-operating income, net, included $210.8 million in net gains related to sales of businesses and contingent consideration; and other items, partially offset by $4.8 million in impairments on cost method investments; and $3.0 million in foreign currency losses. The 2019 non-operating expense, net, included $2.4 million in foreign currency losses; $1.5 million in net losses related to sales of businesses and contingent consideration; and other items.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46"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Company’s effective tax rate for 2020 was 26.3%. In 2020, the Company recorded income tax expense related to stock compensation of $2.9 million. Excluding this $2.9 million expense, the overall income tax rate for 2020 was 25.6%.</w:t>
      </w:r>
    </w:p>
    <w:p>
      <w:pPr>
        <w:spacing w:after="0" w:line="9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Company’s effective tax rate for 2019 was 23.1%. In the first quarter of 2019, the Company recorded income tax benefits related to stock compensation of $1.7 million. Excluding this $1.7 million benefit, the overall income tax rate for 2019 was 23.5%.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46"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The calculation of diluted earnings per share for 2020 and the fourth quarter of 2020 was based on 5,139,174 and 4,982,448 weighted average shares, respectively, compared to 5,326,953 and 5,324,079 weighted average shares, respectively, for 2019 and the fourth quarter of 2019. At December 31, 2020, there were 4,982,833 shares outstanding. On September 10, 2020, the Board of Directors authorized the Company to acquire up to 500,000 shares of Class B common stock; the Company has remaining authorization for 364,151 shares as of December 31, 2020.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4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press release, in the Company’s Annual Report on Form 10-K and in the Company’s 2020 Annual Report to Stockholders, are “forward-looking statements” within the meaning of the Private Securities Litigation Reform Act of 1995. Actual results may differ materially from those projected as a result of certain risks and uncertainties, including but not limited to the duration and severity of the COVID-19 pandemic and its effects on the Company’s operations, financial results, liquidity and cash flows. Other forward-looking statements include comments about expectations related to acquisitions or dispositions or related business activities, including the TOSA, the Company’s business strategies and objectives, anticipated results of license renewal applications,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the Company’s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ectPr>
          <w:pgSz w:w="11900" w:h="16838" w:orient="portrait"/>
          <w:cols w:equalWidth="0" w:num="1">
            <w:col w:w="11240"/>
          </w:cols>
          <w:pgMar w:left="320" w:top="87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color w:val="auto"/>
              </w:rPr>
              <w:t>2019</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3"/>
        </w:trPr>
        <w:tc>
          <w:tcPr>
            <w:tcW w:w="836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787,011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763,478</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83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710,171</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694,853</w:t>
            </w: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836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16,159</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16,495</w:t>
            </w: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836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14,138</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13,731</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342</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8,087</w:t>
            </w:r>
          </w:p>
        </w:tc>
        <w:tc>
          <w:tcPr>
            <w:tcW w:w="78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3"/>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46,201</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30,312</w:t>
            </w: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2,937</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3,835</w:t>
            </w: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876</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1,398</w:t>
            </w: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(16,008)</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(7,192)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18,287</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111,061</w:t>
            </w:r>
          </w:p>
        </w:tc>
        <w:tc>
          <w:tcPr>
            <w:tcW w:w="78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61,926</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49,407</w:t>
            </w:r>
          </w:p>
        </w:tc>
        <w:tc>
          <w:tcPr>
            <w:tcW w:w="7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3"/>
        </w:trPr>
        <w:tc>
          <w:tcPr>
            <w:tcW w:w="836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203,524</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317,743</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185,117</w:t>
            </w:r>
          </w:p>
        </w:tc>
        <w:tc>
          <w:tcPr>
            <w:tcW w:w="78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80,800</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39,100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236,943</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146,017</w:t>
            </w:r>
          </w:p>
        </w:tc>
        <w:tc>
          <w:tcPr>
            <w:tcW w:w="78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198</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83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237,141</w:t>
            </w:r>
          </w:p>
        </w:tc>
        <w:tc>
          <w:tcPr>
            <w:tcW w:w="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145,881</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
        </w:trPr>
        <w:tc>
          <w:tcPr>
            <w:tcW w:w="8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8360" w:type="dxa"/>
            <w:vAlign w:val="bottom"/>
            <w:vMerge w:val="continue"/>
          </w:tcPr>
          <w:p>
            <w:pPr>
              <w:spacing w:after="0"/>
              <w:rPr>
                <w:sz w:val="17"/>
                <w:szCs w:val="17"/>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47.45</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36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27.45</w:t>
            </w:r>
          </w:p>
        </w:tc>
        <w:tc>
          <w:tcPr>
            <w:tcW w:w="7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4,970</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5,284</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47.34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27.25</w:t>
            </w:r>
          </w:p>
        </w:tc>
        <w:tc>
          <w:tcPr>
            <w:tcW w:w="78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4,982</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5,324</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20"/>
          </w:cols>
          <w:pgMar w:left="320" w:top="1021" w:right="359" w:bottom="1440" w:gutter="0" w:footer="0" w:header="0"/>
        </w:sectPr>
      </w:pPr>
    </w:p>
    <w:bookmarkStart w:id="13" w:name="page14"/>
    <w:bookmarkEnd w:id="13"/>
    <w:p>
      <w:pPr>
        <w:jc w:val="center"/>
        <w:ind w:right="780"/>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ind w:right="7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23"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Twelve Months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2019</w:t>
            </w: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3"/>
        </w:trPr>
        <w:tc>
          <w:tcPr>
            <w:tcW w:w="800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2,889,121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2,932,099</w:t>
            </w: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2,627,507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2,665,905</w:t>
            </w: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74,257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59,253</w:t>
            </w: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56,780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53,243</w:t>
            </w: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30,170</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9,152</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100,407</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144,546</w:t>
            </w:r>
          </w:p>
        </w:tc>
        <w:tc>
          <w:tcPr>
            <w:tcW w:w="8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Equity in earnings of affiliates, net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6,664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11,664</w:t>
            </w:r>
          </w:p>
        </w:tc>
        <w:tc>
          <w:tcPr>
            <w:tcW w:w="8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3,871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6,151</w:t>
            </w:r>
          </w:p>
        </w:tc>
        <w:tc>
          <w:tcPr>
            <w:tcW w:w="8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(38,310)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(29,779)</w:t>
            </w:r>
          </w:p>
        </w:tc>
        <w:tc>
          <w:tcPr>
            <w:tcW w:w="8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59,315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162,798</w:t>
            </w:r>
          </w:p>
        </w:tc>
        <w:tc>
          <w:tcPr>
            <w:tcW w:w="80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60,787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98,668</w:t>
            </w:r>
          </w:p>
        </w:tc>
        <w:tc>
          <w:tcPr>
            <w:tcW w:w="8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3"/>
        </w:trPr>
        <w:tc>
          <w:tcPr>
            <w:tcW w:w="800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214,534</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32,431</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407,268</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426,479</w:t>
            </w: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107,300</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98,600</w:t>
            </w:r>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299,968</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327,879</w:t>
            </w:r>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397</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80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300,365</w:t>
            </w:r>
          </w:p>
        </w:tc>
        <w:tc>
          <w:tcPr>
            <w:tcW w:w="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327,855</w:t>
            </w: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
        </w:trPr>
        <w:tc>
          <w:tcPr>
            <w:tcW w:w="8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8000" w:type="dxa"/>
            <w:vAlign w:val="bottom"/>
            <w:vMerge w:val="continue"/>
          </w:tcPr>
          <w:p>
            <w:pPr>
              <w:spacing w:after="0"/>
              <w:rPr>
                <w:sz w:val="17"/>
                <w:szCs w:val="17"/>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58.30</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00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61.70</w:t>
            </w: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5,124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5,285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58.13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61.21</w:t>
            </w: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5,139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5,327</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-more-</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00"/>
          </w:cols>
          <w:pgMar w:left="320" w:top="1021" w:right="3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BUSINESS DIVISION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Twelve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4"/>
          </w:tcPr>
          <w:p>
            <w:pPr>
              <w:ind w:left="40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jc w:val="right"/>
              <w:ind w:right="23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3"/>
          </w:tcPr>
          <w:p>
            <w:pPr>
              <w:jc w:val="right"/>
              <w:ind w:right="65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Change</w:t>
            </w:r>
          </w:p>
        </w:tc>
        <w:tc>
          <w:tcPr>
            <w:tcW w:w="2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color w:val="auto"/>
              </w:rPr>
              <w:t>2019</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5"/>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313,693</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1,305,713</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354,214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1,451,750</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175,174</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123,452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525,212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463,464</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112,750</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107,347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416,137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449,053</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51,595</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42,711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198,196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161,768</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134,250</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136,113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445,491</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406,731</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80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(451)</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(1,628)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787,011</w:t>
            </w:r>
          </w:p>
        </w:tc>
        <w:tc>
          <w:tcPr>
            <w:tcW w:w="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763,478</w:t>
            </w: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2,889,121</w:t>
            </w:r>
          </w:p>
        </w:tc>
        <w:tc>
          <w:tcPr>
            <w:tcW w:w="3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2,932,099</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5"/>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322,368</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1,294,109</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350,881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1,403,678</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92,824</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87,631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330,714</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310,796</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110,292</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101,691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403,809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428,586</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45,617</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40,938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172,089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153,860</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152,513</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140,719</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537,643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440,143</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17,647</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11,665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51,978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51,157</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3"/>
        </w:trPr>
        <w:tc>
          <w:tcPr>
            <w:tcW w:w="480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(451)</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(1,628)</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740,810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733,166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2,788,714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2,787,553</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5"/>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(8,675)</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11,604</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3,333</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48,072</w:t>
            </w: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82,350</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35,821</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194,498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152,668</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2,458</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5,656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12,328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20,467</w:t>
            </w: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5,978</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1,773</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26,107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7,908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(18,263)</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(4,606)</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(92,152)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(33,412)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8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(17,647)</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(11,665)</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(51,978)</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(51,157)</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46,201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100,407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144,546</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5"/>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7,284</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31,759</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7,059</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25,655</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3,642</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13,830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12,817</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2,723</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2,548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10,333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10,036</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314</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1,665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2,314</w:t>
            </w: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3,205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15,964</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7,556</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8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178</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706</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0"/>
        </w:trPr>
        <w:tc>
          <w:tcPr>
            <w:tcW w:w="4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16,159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74,257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59,253</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42"/>
        </w:trPr>
        <w:tc>
          <w:tcPr>
            <w:tcW w:w="4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800" w:type="dxa"/>
            <w:vAlign w:val="bottom"/>
          </w:tcPr>
          <w:p>
            <w:pPr>
              <w:ind w:left="100"/>
              <w:spacing w:after="0"/>
              <w:rPr>
                <w:sz w:val="20"/>
                <w:szCs w:val="20"/>
                <w:color w:val="auto"/>
              </w:rPr>
            </w:pPr>
            <w:r>
              <w:rPr>
                <w:rFonts w:ascii="Arial" w:cs="Arial" w:eastAsia="Arial" w:hAnsi="Arial"/>
                <w:sz w:val="16"/>
                <w:szCs w:val="16"/>
                <w:b w:val="1"/>
                <w:bCs w:val="1"/>
                <w:color w:val="auto"/>
              </w:rPr>
              <w:t>Goodwill and Other Long-Lived Assets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4,709</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29,452</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4,027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15,608</w:t>
            </w:r>
          </w:p>
        </w:tc>
        <w:tc>
          <w:tcPr>
            <w:tcW w:w="90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1,359</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9,184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5,440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13,408</w:t>
            </w:r>
          </w:p>
        </w:tc>
        <w:tc>
          <w:tcPr>
            <w:tcW w:w="9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6,987</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6,762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28,099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26,342</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780</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1,689</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4,220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6,411</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645</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19,739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626</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8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14,480</w:t>
            </w:r>
          </w:p>
        </w:tc>
        <w:tc>
          <w:tcPr>
            <w:tcW w:w="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21,818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86,950</w:t>
            </w:r>
          </w:p>
        </w:tc>
        <w:tc>
          <w:tcPr>
            <w:tcW w:w="3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62,395</w:t>
            </w: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5"/>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2,497</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10,024</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2,596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10,385</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814</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3,263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3,025</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317</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1,424</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136</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543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492</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422</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1,698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1,640</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3"/>
        </w:trPr>
        <w:tc>
          <w:tcPr>
            <w:tcW w:w="48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1,426</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auto"/>
            </w:tcBorders>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5,704</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5,612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5,096</w:t>
            </w:r>
          </w:p>
        </w:tc>
        <w:tc>
          <w:tcPr>
            <w:tcW w:w="120" w:type="dxa"/>
            <w:vAlign w:val="bottom"/>
            <w:tcBorders>
              <w:bottom w:val="single" w:sz="8" w:color="auto"/>
            </w:tcBorders>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22,656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20,422</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021"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EDUCATION DIVISION INFORMATION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Twelve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2019</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2019</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5"/>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165,796</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653,892</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197,740</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2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750,245</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72,264</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67,892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316,095</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305,672</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73,446</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87,100</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327,087</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388,814</w:t>
            </w: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3,205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2,359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12,643</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9,480</w:t>
            </w: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3"/>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(1,018)</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(4,004)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(2,461)</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313,693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354,214</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1,305,713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1,451,750</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5"/>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171,804</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638,644</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191,207</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(10)</w:t>
            </w:r>
          </w:p>
        </w:tc>
        <w:tc>
          <w:tcPr>
            <w:tcW w:w="2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708,116</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69,783</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63,745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291,731</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291,712</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66,590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82,350</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307,382</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354,327</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10,500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10,426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30,909</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36,371</w:t>
            </w: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4,367</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4,027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17,174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14,915</w:t>
            </w: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342</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12,278</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693</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(1,018)</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(4,009)</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(2,456)</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322,368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350,881</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1,294,109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1,403,678</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5"/>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(6,008)</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15,248</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6,533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42,129</w:t>
            </w:r>
          </w:p>
        </w:tc>
        <w:tc>
          <w:tcPr>
            <w:tcW w:w="88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2,481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4,147</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24,364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13,960</w:t>
            </w:r>
          </w:p>
        </w:tc>
        <w:tc>
          <w:tcPr>
            <w:tcW w:w="88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6,856</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4,750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19,705</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34,487</w:t>
            </w: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(7,295)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(8,067)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(18,266)</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(26,891)</w:t>
            </w: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(4,367)</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(4,027)</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(17,174)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(14,915)</w:t>
            </w: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(342)</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(12,278)</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(693)</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(8,675)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11,604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48,072</w:t>
            </w:r>
          </w:p>
        </w:tc>
        <w:tc>
          <w:tcPr>
            <w:tcW w:w="88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5"/>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4,780</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19,562</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4,196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2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15,394</w:t>
            </w: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845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3,082</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2,883</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1,559</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1,972</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8,724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7,132</w:t>
            </w: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3"/>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100</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35</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88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7,284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31,759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25,655</w:t>
            </w: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5"/>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99</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433</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113</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2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454</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1,037</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1,134</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4,150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4,535</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1,052</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1,183</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4,207</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4,734</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3"/>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309</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86</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1,234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c>
          <w:tcPr>
            <w:tcW w:w="88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2,497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2,596</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10,024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10,385</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-more-</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80"/>
          </w:cols>
          <w:pgMar w:left="320" w:top="1021"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NON-GAAP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40" w:lineRule="exact"/>
        <w:rPr>
          <w:sz w:val="20"/>
          <w:szCs w:val="20"/>
          <w:color w:val="auto"/>
        </w:rPr>
      </w:pPr>
    </w:p>
    <w:p>
      <w:pPr>
        <w:ind w:right="380"/>
        <w:spacing w:after="0" w:line="241" w:lineRule="auto"/>
        <w:rPr>
          <w:sz w:val="20"/>
          <w:szCs w:val="20"/>
          <w:color w:val="auto"/>
        </w:rPr>
      </w:pPr>
      <w:r>
        <w:rPr>
          <w:rFonts w:ascii="Arial" w:cs="Arial" w:eastAsia="Arial" w:hAnsi="Arial"/>
          <w:sz w:val="15"/>
          <w:szCs w:val="15"/>
          <w:color w:val="auto"/>
        </w:rPr>
        <w:t>In addition to the results reported in accordance with accounting principles generally accepted in the United States (GAAP) included in this press release, the Company has provided information regarding net income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2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5"/>
          <w:szCs w:val="15"/>
          <w:color w:val="auto"/>
        </w:rPr>
        <w:t>the ability to make meaningful period-to-period comparisons of the Company’s ongoing results;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5"/>
          <w:szCs w:val="15"/>
          <w:color w:val="auto"/>
        </w:rPr>
        <w:t>the ability to identify trends in the Company’s underlying business;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5"/>
          <w:szCs w:val="15"/>
          <w:color w:val="auto"/>
        </w:rPr>
        <w:t>a better understanding of how management plans and measures the Company’s underlying business.</w:t>
      </w:r>
    </w:p>
    <w:p>
      <w:pPr>
        <w:spacing w:after="0" w:line="77"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Net income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reconciles the non-GAAP financial measures to the most directly comparable GAAP measures:</w:t>
      </w:r>
    </w:p>
    <w:p>
      <w:pPr>
        <w:spacing w:after="0" w:line="128"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auto"/>
        </w:rPr>
        <w:t>Three Months Ended December 31</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144"/>
              <w:spacing w:after="0" w:line="142" w:lineRule="exact"/>
              <w:rPr>
                <w:sz w:val="20"/>
                <w:szCs w:val="20"/>
                <w:color w:val="auto"/>
              </w:rPr>
            </w:pPr>
            <w:r>
              <w:rPr>
                <w:rFonts w:ascii="Arial" w:cs="Arial" w:eastAsia="Arial" w:hAnsi="Arial"/>
                <w:sz w:val="15"/>
                <w:szCs w:val="15"/>
                <w:b w:val="1"/>
                <w:bCs w:val="1"/>
                <w:color w:val="auto"/>
              </w:rPr>
              <w:t>Income</w:t>
            </w:r>
          </w:p>
        </w:tc>
        <w:tc>
          <w:tcPr>
            <w:tcW w:w="220" w:type="dxa"/>
            <w:vAlign w:val="bottom"/>
          </w:tcPr>
          <w:p>
            <w:pPr>
              <w:spacing w:after="0"/>
              <w:rPr>
                <w:sz w:val="12"/>
                <w:szCs w:val="12"/>
                <w:color w:val="auto"/>
              </w:rPr>
            </w:pPr>
          </w:p>
        </w:tc>
        <w:tc>
          <w:tcPr>
            <w:tcW w:w="900" w:type="dxa"/>
            <w:vAlign w:val="bottom"/>
            <w:vMerge w:val="restart"/>
          </w:tcPr>
          <w:p>
            <w:pPr>
              <w:jc w:val="right"/>
              <w:ind w:right="244"/>
              <w:spacing w:after="0"/>
              <w:rPr>
                <w:sz w:val="20"/>
                <w:szCs w:val="20"/>
                <w:color w:val="auto"/>
              </w:rPr>
            </w:pPr>
            <w:r>
              <w:rPr>
                <w:rFonts w:ascii="Arial" w:cs="Arial" w:eastAsia="Arial" w:hAnsi="Arial"/>
                <w:sz w:val="15"/>
                <w:szCs w:val="15"/>
                <w:b w:val="1"/>
                <w:bCs w:val="1"/>
                <w:color w:val="auto"/>
              </w:rPr>
              <w:t>Income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center"/>
              <w:ind w:right="124"/>
              <w:spacing w:after="0" w:line="142" w:lineRule="exact"/>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2"/>
                <w:szCs w:val="12"/>
                <w:color w:val="auto"/>
              </w:rPr>
            </w:pPr>
          </w:p>
        </w:tc>
        <w:tc>
          <w:tcPr>
            <w:tcW w:w="900" w:type="dxa"/>
            <w:vAlign w:val="bottom"/>
            <w:vMerge w:val="restart"/>
          </w:tcPr>
          <w:p>
            <w:pPr>
              <w:jc w:val="right"/>
              <w:ind w:right="264"/>
              <w:spacing w:after="0"/>
              <w:rPr>
                <w:sz w:val="20"/>
                <w:szCs w:val="20"/>
                <w:color w:val="auto"/>
              </w:rPr>
            </w:pPr>
            <w:r>
              <w:rPr>
                <w:rFonts w:ascii="Arial" w:cs="Arial" w:eastAsia="Arial" w:hAnsi="Arial"/>
                <w:sz w:val="15"/>
                <w:szCs w:val="15"/>
                <w:color w:val="auto"/>
              </w:rPr>
              <w:t>Income</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144"/>
              <w:spacing w:after="0" w:line="149" w:lineRule="exact"/>
              <w:rPr>
                <w:sz w:val="20"/>
                <w:szCs w:val="20"/>
                <w:color w:val="auto"/>
              </w:rPr>
            </w:pPr>
            <w:r>
              <w:rPr>
                <w:rFonts w:ascii="Arial" w:cs="Arial" w:eastAsia="Arial" w:hAnsi="Arial"/>
                <w:sz w:val="15"/>
                <w:szCs w:val="15"/>
                <w:b w:val="1"/>
                <w:bCs w:val="1"/>
                <w:color w:val="auto"/>
              </w:rPr>
              <w:t>before</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20" w:type="dxa"/>
            <w:vAlign w:val="bottom"/>
            <w:gridSpan w:val="2"/>
            <w:vMerge w:val="restart"/>
          </w:tcPr>
          <w:p>
            <w:pPr>
              <w:jc w:val="right"/>
              <w:ind w:right="24"/>
              <w:spacing w:after="0"/>
              <w:rPr>
                <w:sz w:val="20"/>
                <w:szCs w:val="20"/>
                <w:color w:val="auto"/>
              </w:rPr>
            </w:pPr>
            <w:r>
              <w:rPr>
                <w:rFonts w:ascii="Arial" w:cs="Arial" w:eastAsia="Arial" w:hAnsi="Arial"/>
                <w:sz w:val="15"/>
                <w:szCs w:val="15"/>
                <w:b w:val="1"/>
                <w:bCs w:val="1"/>
                <w:color w:val="auto"/>
              </w:rPr>
              <w:t>Net Income</w:t>
            </w:r>
          </w:p>
        </w:tc>
        <w:tc>
          <w:tcPr>
            <w:tcW w:w="260" w:type="dxa"/>
            <w:vAlign w:val="bottom"/>
          </w:tcPr>
          <w:p>
            <w:pPr>
              <w:spacing w:after="0"/>
              <w:rPr>
                <w:sz w:val="12"/>
                <w:szCs w:val="12"/>
                <w:color w:val="auto"/>
              </w:rPr>
            </w:pPr>
          </w:p>
        </w:tc>
        <w:tc>
          <w:tcPr>
            <w:tcW w:w="800" w:type="dxa"/>
            <w:vAlign w:val="bottom"/>
          </w:tcPr>
          <w:p>
            <w:pPr>
              <w:jc w:val="center"/>
              <w:ind w:right="124"/>
              <w:spacing w:after="0" w:line="149" w:lineRule="exact"/>
              <w:rPr>
                <w:sz w:val="20"/>
                <w:szCs w:val="20"/>
                <w:color w:val="auto"/>
              </w:rPr>
            </w:pPr>
            <w:r>
              <w:rPr>
                <w:rFonts w:ascii="Arial" w:cs="Arial" w:eastAsia="Arial" w:hAnsi="Arial"/>
                <w:sz w:val="15"/>
                <w:szCs w:val="15"/>
                <w:color w:val="auto"/>
              </w:rPr>
              <w:t>before</w:t>
            </w: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color w:val="auto"/>
                <w:w w:val="99"/>
              </w:rPr>
              <w:t>Net Income</w:t>
            </w:r>
          </w:p>
        </w:tc>
        <w:tc>
          <w:tcPr>
            <w:tcW w:w="0" w:type="dxa"/>
            <w:vAlign w:val="bottom"/>
          </w:tcPr>
          <w:p>
            <w:pPr>
              <w:spacing w:after="0"/>
              <w:rPr>
                <w:sz w:val="1"/>
                <w:szCs w:val="1"/>
                <w:color w:val="auto"/>
              </w:rPr>
            </w:pPr>
          </w:p>
        </w:tc>
      </w:tr>
      <w:tr>
        <w:trPr>
          <w:trHeight w:val="123"/>
        </w:trPr>
        <w:tc>
          <w:tcPr>
            <w:tcW w:w="4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center"/>
              <w:ind w:right="144"/>
              <w:spacing w:after="0" w:line="149" w:lineRule="exact"/>
              <w:rPr>
                <w:sz w:val="20"/>
                <w:szCs w:val="20"/>
                <w:color w:val="auto"/>
              </w:rPr>
            </w:pPr>
            <w:r>
              <w:rPr>
                <w:rFonts w:ascii="Arial" w:cs="Arial" w:eastAsia="Arial" w:hAnsi="Arial"/>
                <w:sz w:val="15"/>
                <w:szCs w:val="15"/>
                <w:b w:val="1"/>
                <w:bCs w:val="1"/>
                <w:color w:val="auto"/>
              </w:rPr>
              <w:t>income</w:t>
            </w:r>
          </w:p>
        </w:tc>
        <w:tc>
          <w:tcPr>
            <w:tcW w:w="220" w:type="dxa"/>
            <w:vAlign w:val="bottom"/>
          </w:tcPr>
          <w:p>
            <w:pPr>
              <w:spacing w:after="0"/>
              <w:rPr>
                <w:sz w:val="10"/>
                <w:szCs w:val="10"/>
                <w:color w:val="auto"/>
              </w:rPr>
            </w:pPr>
          </w:p>
        </w:tc>
        <w:tc>
          <w:tcPr>
            <w:tcW w:w="900" w:type="dxa"/>
            <w:vAlign w:val="bottom"/>
            <w:vMerge w:val="restart"/>
          </w:tcPr>
          <w:p>
            <w:pPr>
              <w:jc w:val="right"/>
              <w:ind w:right="304"/>
              <w:spacing w:after="0" w:line="149" w:lineRule="exact"/>
              <w:rPr>
                <w:sz w:val="20"/>
                <w:szCs w:val="20"/>
                <w:color w:val="auto"/>
              </w:rPr>
            </w:pPr>
            <w:r>
              <w:rPr>
                <w:rFonts w:ascii="Arial" w:cs="Arial" w:eastAsia="Arial" w:hAnsi="Arial"/>
                <w:sz w:val="15"/>
                <w:szCs w:val="15"/>
                <w:b w:val="1"/>
                <w:bCs w:val="1"/>
                <w:color w:val="auto"/>
              </w:rPr>
              <w:t>Taxes</w:t>
            </w:r>
          </w:p>
        </w:tc>
        <w:tc>
          <w:tcPr>
            <w:tcW w:w="10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restart"/>
          </w:tcPr>
          <w:p>
            <w:pPr>
              <w:jc w:val="center"/>
              <w:ind w:right="124"/>
              <w:spacing w:after="0" w:line="149" w:lineRule="exact"/>
              <w:rPr>
                <w:sz w:val="20"/>
                <w:szCs w:val="20"/>
                <w:color w:val="auto"/>
              </w:rPr>
            </w:pPr>
            <w:r>
              <w:rPr>
                <w:rFonts w:ascii="Arial" w:cs="Arial" w:eastAsia="Arial" w:hAnsi="Arial"/>
                <w:sz w:val="15"/>
                <w:szCs w:val="15"/>
                <w:color w:val="auto"/>
                <w:w w:val="99"/>
              </w:rPr>
              <w:t>income</w:t>
            </w:r>
          </w:p>
        </w:tc>
        <w:tc>
          <w:tcPr>
            <w:tcW w:w="240" w:type="dxa"/>
            <w:vAlign w:val="bottom"/>
          </w:tcPr>
          <w:p>
            <w:pPr>
              <w:spacing w:after="0"/>
              <w:rPr>
                <w:sz w:val="10"/>
                <w:szCs w:val="10"/>
                <w:color w:val="auto"/>
              </w:rPr>
            </w:pPr>
          </w:p>
        </w:tc>
        <w:tc>
          <w:tcPr>
            <w:tcW w:w="900" w:type="dxa"/>
            <w:vAlign w:val="bottom"/>
            <w:vMerge w:val="restart"/>
          </w:tcPr>
          <w:p>
            <w:pPr>
              <w:jc w:val="right"/>
              <w:ind w:right="304"/>
              <w:spacing w:after="0" w:line="149" w:lineRule="exact"/>
              <w:rPr>
                <w:sz w:val="20"/>
                <w:szCs w:val="20"/>
                <w:color w:val="auto"/>
              </w:rPr>
            </w:pPr>
            <w:r>
              <w:rPr>
                <w:rFonts w:ascii="Arial" w:cs="Arial" w:eastAsia="Arial" w:hAnsi="Arial"/>
                <w:sz w:val="15"/>
                <w:szCs w:val="15"/>
                <w:color w:val="auto"/>
              </w:rPr>
              <w:t>Taxes</w:t>
            </w: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4860" w:type="dxa"/>
            <w:vAlign w:val="bottom"/>
            <w:vMerge w:val="restart"/>
          </w:tcPr>
          <w:p>
            <w:pPr>
              <w:spacing w:after="0"/>
              <w:rPr>
                <w:sz w:val="20"/>
                <w:szCs w:val="20"/>
                <w:color w:val="auto"/>
              </w:rPr>
            </w:pPr>
            <w:r>
              <w:rPr>
                <w:rFonts w:ascii="Arial" w:cs="Arial" w:eastAsia="Arial" w:hAnsi="Arial"/>
                <w:sz w:val="15"/>
                <w:szCs w:val="15"/>
                <w:color w:val="auto"/>
              </w:rPr>
              <w:t>(in thousands, except per share amounts)</w:t>
            </w:r>
          </w:p>
        </w:tc>
        <w:tc>
          <w:tcPr>
            <w:tcW w:w="16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w w:val="98"/>
              </w:rPr>
              <w:t>taxes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color w:val="auto"/>
              </w:rPr>
              <w:t>taxes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4860" w:type="dxa"/>
            <w:vAlign w:val="bottom"/>
          </w:tcPr>
          <w:p>
            <w:pPr>
              <w:spacing w:after="0" w:line="129" w:lineRule="exact"/>
              <w:rPr>
                <w:sz w:val="20"/>
                <w:szCs w:val="20"/>
                <w:color w:val="auto"/>
              </w:rPr>
            </w:pPr>
            <w:r>
              <w:rPr>
                <w:rFonts w:ascii="Arial" w:cs="Arial" w:eastAsia="Arial" w:hAnsi="Arial"/>
                <w:sz w:val="14"/>
                <w:szCs w:val="14"/>
                <w:b w:val="1"/>
                <w:bCs w:val="1"/>
                <w:color w:val="auto"/>
              </w:rPr>
              <w:t>Amounts attributable to Graham Holdings Company Common</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860" w:type="dxa"/>
            <w:vAlign w:val="bottom"/>
          </w:tcPr>
          <w:p>
            <w:pPr>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317,743</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104"/>
              <w:spacing w:after="0"/>
              <w:rPr>
                <w:sz w:val="20"/>
                <w:szCs w:val="20"/>
                <w:color w:val="auto"/>
              </w:rPr>
            </w:pPr>
            <w:r>
              <w:rPr>
                <w:rFonts w:ascii="Arial" w:cs="Arial" w:eastAsia="Arial" w:hAnsi="Arial"/>
                <w:sz w:val="15"/>
                <w:szCs w:val="15"/>
                <w:b w:val="1"/>
                <w:bCs w:val="1"/>
                <w:color w:val="auto"/>
              </w:rPr>
              <w:t>80,800</w:t>
            </w:r>
          </w:p>
        </w:tc>
        <w:tc>
          <w:tcPr>
            <w:tcW w:w="220" w:type="dxa"/>
            <w:vAlign w:val="bottom"/>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236,943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185,117</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39,100</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146,017</w:t>
            </w:r>
          </w:p>
        </w:tc>
        <w:tc>
          <w:tcPr>
            <w:tcW w:w="0" w:type="dxa"/>
            <w:vAlign w:val="bottom"/>
          </w:tcPr>
          <w:p>
            <w:pPr>
              <w:spacing w:after="0"/>
              <w:rPr>
                <w:sz w:val="1"/>
                <w:szCs w:val="1"/>
                <w:color w:val="auto"/>
              </w:rPr>
            </w:pPr>
          </w:p>
        </w:tc>
      </w:tr>
      <w:tr>
        <w:trPr>
          <w:trHeight w:val="212"/>
        </w:trPr>
        <w:tc>
          <w:tcPr>
            <w:tcW w:w="4860" w:type="dxa"/>
            <w:vAlign w:val="bottom"/>
          </w:tcPr>
          <w:p>
            <w:pPr>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198</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186"/>
        </w:trPr>
        <w:tc>
          <w:tcPr>
            <w:tcW w:w="4860" w:type="dxa"/>
            <w:vAlign w:val="bottom"/>
          </w:tcPr>
          <w:p>
            <w:pPr>
              <w:ind w:left="16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237,141</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145,881</w:t>
            </w:r>
          </w:p>
        </w:tc>
        <w:tc>
          <w:tcPr>
            <w:tcW w:w="0" w:type="dxa"/>
            <w:vAlign w:val="bottom"/>
          </w:tcPr>
          <w:p>
            <w:pPr>
              <w:spacing w:after="0"/>
              <w:rPr>
                <w:sz w:val="1"/>
                <w:szCs w:val="1"/>
                <w:color w:val="auto"/>
              </w:rPr>
            </w:pPr>
          </w:p>
        </w:tc>
      </w:tr>
      <w:tr>
        <w:trPr>
          <w:trHeight w:val="203"/>
        </w:trPr>
        <w:tc>
          <w:tcPr>
            <w:tcW w:w="4860" w:type="dxa"/>
            <w:vAlign w:val="bottom"/>
          </w:tcPr>
          <w:p>
            <w:pPr>
              <w:ind w:left="16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Restructuring charges at the education division</w:t>
            </w:r>
          </w:p>
        </w:tc>
        <w:tc>
          <w:tcPr>
            <w:tcW w:w="16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3,991</w:t>
            </w:r>
          </w:p>
        </w:tc>
        <w:tc>
          <w:tcPr>
            <w:tcW w:w="22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b w:val="1"/>
                <w:bCs w:val="1"/>
                <w:color w:val="auto"/>
              </w:rPr>
              <w:t>1,025</w:t>
            </w:r>
          </w:p>
        </w:tc>
        <w:tc>
          <w:tcPr>
            <w:tcW w:w="2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2,966</w:t>
            </w:r>
          </w:p>
        </w:tc>
        <w:tc>
          <w:tcPr>
            <w:tcW w:w="26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8"/>
        </w:trPr>
        <w:tc>
          <w:tcPr>
            <w:tcW w:w="4860" w:type="dxa"/>
            <w:vAlign w:val="bottom"/>
          </w:tcPr>
          <w:p>
            <w:pPr>
              <w:ind w:left="380"/>
              <w:spacing w:after="0" w:line="159" w:lineRule="exact"/>
              <w:rPr>
                <w:sz w:val="20"/>
                <w:szCs w:val="20"/>
                <w:color w:val="auto"/>
              </w:rPr>
            </w:pPr>
            <w:r>
              <w:rPr>
                <w:rFonts w:ascii="Arial" w:cs="Arial" w:eastAsia="Arial" w:hAnsi="Arial"/>
                <w:sz w:val="15"/>
                <w:szCs w:val="15"/>
                <w:color w:val="auto"/>
              </w:rPr>
              <w:t>Reduction to operating expenses in connection with the broadcast</w:t>
            </w:r>
          </w:p>
        </w:tc>
        <w:tc>
          <w:tcPr>
            <w:tcW w:w="160" w:type="dxa"/>
            <w:vAlign w:val="bottom"/>
          </w:tcPr>
          <w:p>
            <w:pPr>
              <w:spacing w:after="0"/>
              <w:rPr>
                <w:sz w:val="13"/>
                <w:szCs w:val="13"/>
                <w:color w:val="auto"/>
              </w:rPr>
            </w:pP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(371)</w:t>
            </w:r>
          </w:p>
        </w:tc>
        <w:tc>
          <w:tcPr>
            <w:tcW w:w="220" w:type="dxa"/>
            <w:vAlign w:val="bottom"/>
          </w:tcPr>
          <w:p>
            <w:pPr>
              <w:spacing w:after="0"/>
              <w:rPr>
                <w:sz w:val="13"/>
                <w:szCs w:val="13"/>
                <w:color w:val="auto"/>
              </w:rPr>
            </w:pPr>
          </w:p>
        </w:tc>
        <w:tc>
          <w:tcPr>
            <w:tcW w:w="90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(83)</w:t>
            </w: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(288)</w:t>
            </w:r>
          </w:p>
        </w:tc>
        <w:tc>
          <w:tcPr>
            <w:tcW w:w="2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(1,074)</w:t>
            </w:r>
          </w:p>
        </w:tc>
        <w:tc>
          <w:tcPr>
            <w:tcW w:w="240" w:type="dxa"/>
            <w:vAlign w:val="bottom"/>
          </w:tcPr>
          <w:p>
            <w:pPr>
              <w:spacing w:after="0"/>
              <w:rPr>
                <w:sz w:val="13"/>
                <w:szCs w:val="13"/>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color w:val="auto"/>
              </w:rPr>
              <w:t>(247)</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(827)</w:t>
            </w:r>
          </w:p>
        </w:tc>
        <w:tc>
          <w:tcPr>
            <w:tcW w:w="0" w:type="dxa"/>
            <w:vAlign w:val="bottom"/>
          </w:tcPr>
          <w:p>
            <w:pPr>
              <w:spacing w:after="0"/>
              <w:rPr>
                <w:sz w:val="1"/>
                <w:szCs w:val="1"/>
                <w:color w:val="auto"/>
              </w:rPr>
            </w:pPr>
          </w:p>
        </w:tc>
      </w:tr>
      <w:tr>
        <w:trPr>
          <w:trHeight w:val="193"/>
        </w:trPr>
        <w:tc>
          <w:tcPr>
            <w:tcW w:w="4860" w:type="dxa"/>
            <w:vAlign w:val="bottom"/>
          </w:tcPr>
          <w:p>
            <w:pPr>
              <w:ind w:left="500"/>
              <w:spacing w:after="0"/>
              <w:rPr>
                <w:sz w:val="20"/>
                <w:szCs w:val="20"/>
                <w:color w:val="auto"/>
              </w:rPr>
            </w:pPr>
            <w:r>
              <w:rPr>
                <w:rFonts w:ascii="Arial" w:cs="Arial" w:eastAsia="Arial" w:hAnsi="Arial"/>
                <w:sz w:val="15"/>
                <w:szCs w:val="15"/>
                <w:color w:val="auto"/>
              </w:rPr>
              <w:t>spectrum repacking</w:t>
            </w: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Intangible and other long-lived asset impairment charges</w:t>
            </w:r>
          </w:p>
        </w:tc>
        <w:tc>
          <w:tcPr>
            <w:tcW w:w="16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342</w:t>
            </w:r>
          </w:p>
        </w:tc>
        <w:tc>
          <w:tcPr>
            <w:tcW w:w="22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b w:val="1"/>
                <w:bCs w:val="1"/>
                <w:color w:val="auto"/>
              </w:rPr>
              <w:t>94</w:t>
            </w:r>
          </w:p>
        </w:tc>
        <w:tc>
          <w:tcPr>
            <w:tcW w:w="2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248</w:t>
            </w:r>
          </w:p>
        </w:tc>
        <w:tc>
          <w:tcPr>
            <w:tcW w:w="26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7,800</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1,794</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6,006</w:t>
            </w: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Settlement gain related to retiree annuity pension purchase</w:t>
            </w:r>
          </w:p>
        </w:tc>
        <w:tc>
          <w:tcPr>
            <w:tcW w:w="16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(91,676)</w:t>
            </w:r>
          </w:p>
        </w:tc>
        <w:tc>
          <w:tcPr>
            <w:tcW w:w="24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(24,752)</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(66,924)</w:t>
            </w:r>
          </w:p>
        </w:tc>
        <w:tc>
          <w:tcPr>
            <w:tcW w:w="0" w:type="dxa"/>
            <w:vAlign w:val="bottom"/>
          </w:tcPr>
          <w:p>
            <w:pPr>
              <w:spacing w:after="0"/>
              <w:rPr>
                <w:sz w:val="1"/>
                <w:szCs w:val="1"/>
                <w:color w:val="auto"/>
              </w:rPr>
            </w:pPr>
          </w:p>
        </w:tc>
      </w:tr>
      <w:tr>
        <w:trPr>
          <w:trHeight w:val="158"/>
        </w:trPr>
        <w:tc>
          <w:tcPr>
            <w:tcW w:w="4860" w:type="dxa"/>
            <w:vAlign w:val="bottom"/>
          </w:tcPr>
          <w:p>
            <w:pPr>
              <w:ind w:left="380"/>
              <w:spacing w:after="0" w:line="159" w:lineRule="exact"/>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3"/>
                <w:szCs w:val="13"/>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8,483</w:t>
            </w:r>
          </w:p>
        </w:tc>
        <w:tc>
          <w:tcPr>
            <w:tcW w:w="220" w:type="dxa"/>
            <w:vAlign w:val="bottom"/>
          </w:tcPr>
          <w:p>
            <w:pPr>
              <w:spacing w:after="0"/>
              <w:rPr>
                <w:sz w:val="13"/>
                <w:szCs w:val="13"/>
                <w:color w:val="auto"/>
              </w:rPr>
            </w:pPr>
          </w:p>
        </w:tc>
        <w:tc>
          <w:tcPr>
            <w:tcW w:w="90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3"/>
                <w:szCs w:val="13"/>
                <w:color w:val="auto"/>
              </w:rPr>
            </w:pPr>
          </w:p>
        </w:tc>
        <w:tc>
          <w:tcPr>
            <w:tcW w:w="80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8,483</w:t>
            </w:r>
          </w:p>
        </w:tc>
        <w:tc>
          <w:tcPr>
            <w:tcW w:w="260" w:type="dxa"/>
            <w:vAlign w:val="bottom"/>
          </w:tcPr>
          <w:p>
            <w:pPr>
              <w:spacing w:after="0"/>
              <w:rPr>
                <w:sz w:val="13"/>
                <w:szCs w:val="13"/>
                <w:color w:val="auto"/>
              </w:rPr>
            </w:pPr>
          </w:p>
        </w:tc>
        <w:tc>
          <w:tcPr>
            <w:tcW w:w="80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60" w:type="dxa"/>
            <w:vAlign w:val="bottom"/>
          </w:tcPr>
          <w:p>
            <w:pPr>
              <w:ind w:left="50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(61,926)</w:t>
            </w:r>
          </w:p>
        </w:tc>
        <w:tc>
          <w:tcPr>
            <w:tcW w:w="22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b w:val="1"/>
                <w:bCs w:val="1"/>
                <w:color w:val="auto"/>
              </w:rPr>
              <w:t>(16,425)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(45,501)</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(49,406)</w:t>
            </w:r>
          </w:p>
        </w:tc>
        <w:tc>
          <w:tcPr>
            <w:tcW w:w="24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(12,351)</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(37,055)</w:t>
            </w: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Non-operating loss, net, from cost method investments</w:t>
            </w:r>
          </w:p>
        </w:tc>
        <w:tc>
          <w:tcPr>
            <w:tcW w:w="16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4,750</w:t>
            </w:r>
          </w:p>
        </w:tc>
        <w:tc>
          <w:tcPr>
            <w:tcW w:w="22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b w:val="1"/>
                <w:bCs w:val="1"/>
                <w:color w:val="auto"/>
              </w:rPr>
              <w:t>1,260</w:t>
            </w:r>
          </w:p>
        </w:tc>
        <w:tc>
          <w:tcPr>
            <w:tcW w:w="2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3,490</w:t>
            </w:r>
          </w:p>
        </w:tc>
        <w:tc>
          <w:tcPr>
            <w:tcW w:w="26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Gain on sale of Megaphone</w:t>
            </w:r>
          </w:p>
        </w:tc>
        <w:tc>
          <w:tcPr>
            <w:tcW w:w="16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(209,787)</w:t>
            </w:r>
          </w:p>
        </w:tc>
        <w:tc>
          <w:tcPr>
            <w:tcW w:w="22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b w:val="1"/>
                <w:bCs w:val="1"/>
                <w:color w:val="auto"/>
              </w:rPr>
              <w:t>(55,580)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(154,207)</w:t>
            </w:r>
          </w:p>
        </w:tc>
        <w:tc>
          <w:tcPr>
            <w:tcW w:w="26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Foreign currency loss</w:t>
            </w:r>
          </w:p>
        </w:tc>
        <w:tc>
          <w:tcPr>
            <w:tcW w:w="16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3,030</w:t>
            </w:r>
          </w:p>
        </w:tc>
        <w:tc>
          <w:tcPr>
            <w:tcW w:w="22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b w:val="1"/>
                <w:bCs w:val="1"/>
                <w:color w:val="auto"/>
              </w:rPr>
              <w:t>779</w:t>
            </w:r>
          </w:p>
        </w:tc>
        <w:tc>
          <w:tcPr>
            <w:tcW w:w="2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2,251</w:t>
            </w:r>
          </w:p>
        </w:tc>
        <w:tc>
          <w:tcPr>
            <w:tcW w:w="26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2,353</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588</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1,765</w:t>
            </w:r>
          </w:p>
        </w:tc>
        <w:tc>
          <w:tcPr>
            <w:tcW w:w="0" w:type="dxa"/>
            <w:vAlign w:val="bottom"/>
          </w:tcPr>
          <w:p>
            <w:pPr>
              <w:spacing w:after="0"/>
              <w:rPr>
                <w:sz w:val="1"/>
                <w:szCs w:val="1"/>
                <w:color w:val="auto"/>
              </w:rPr>
            </w:pPr>
          </w:p>
        </w:tc>
      </w:tr>
      <w:tr>
        <w:trPr>
          <w:trHeight w:val="212"/>
        </w:trPr>
        <w:tc>
          <w:tcPr>
            <w:tcW w:w="4860" w:type="dxa"/>
            <w:vAlign w:val="bottom"/>
          </w:tcPr>
          <w:p>
            <w:pPr>
              <w:ind w:left="380"/>
              <w:spacing w:after="0"/>
              <w:rPr>
                <w:sz w:val="20"/>
                <w:szCs w:val="20"/>
                <w:color w:val="auto"/>
              </w:rPr>
            </w:pPr>
            <w:r>
              <w:rPr>
                <w:rFonts w:ascii="Arial" w:cs="Arial" w:eastAsia="Arial" w:hAnsi="Arial"/>
                <w:sz w:val="15"/>
                <w:szCs w:val="15"/>
                <w:color w:val="auto"/>
              </w:rPr>
              <w:t>Tax expense related to stock compensation</w:t>
            </w:r>
          </w:p>
        </w:tc>
        <w:tc>
          <w:tcPr>
            <w:tcW w:w="16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8"/>
                <w:szCs w:val="18"/>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b w:val="1"/>
                <w:bCs w:val="1"/>
                <w:color w:val="auto"/>
              </w:rPr>
              <w:t>(2,401)</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2,401</w:t>
            </w:r>
          </w:p>
        </w:tc>
        <w:tc>
          <w:tcPr>
            <w:tcW w:w="260" w:type="dxa"/>
            <w:vAlign w:val="bottom"/>
          </w:tcPr>
          <w:p>
            <w:pPr>
              <w:spacing w:after="0"/>
              <w:rPr>
                <w:sz w:val="18"/>
                <w:szCs w:val="18"/>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860" w:type="dxa"/>
            <w:vAlign w:val="bottom"/>
          </w:tcPr>
          <w:p>
            <w:pPr>
              <w:ind w:left="16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56,984</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48,846</w:t>
            </w:r>
          </w:p>
        </w:tc>
        <w:tc>
          <w:tcPr>
            <w:tcW w:w="0" w:type="dxa"/>
            <w:vAlign w:val="bottom"/>
          </w:tcPr>
          <w:p>
            <w:pPr>
              <w:spacing w:after="0"/>
              <w:rPr>
                <w:sz w:val="1"/>
                <w:szCs w:val="1"/>
                <w:color w:val="auto"/>
              </w:rPr>
            </w:pPr>
          </w:p>
        </w:tc>
      </w:tr>
      <w:tr>
        <w:trPr>
          <w:trHeight w:val="236"/>
        </w:trPr>
        <w:tc>
          <w:tcPr>
            <w:tcW w:w="4860" w:type="dxa"/>
            <w:vAlign w:val="bottom"/>
          </w:tcPr>
          <w:p>
            <w:pPr>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860" w:type="dxa"/>
            <w:vAlign w:val="bottom"/>
          </w:tcPr>
          <w:p>
            <w:pPr>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60" w:type="dxa"/>
            <w:vAlign w:val="bottom"/>
          </w:tcPr>
          <w:p>
            <w:pPr>
              <w:ind w:left="16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47.34</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27.25</w:t>
            </w:r>
          </w:p>
        </w:tc>
        <w:tc>
          <w:tcPr>
            <w:tcW w:w="0" w:type="dxa"/>
            <w:vAlign w:val="bottom"/>
          </w:tcPr>
          <w:p>
            <w:pPr>
              <w:spacing w:after="0"/>
              <w:rPr>
                <w:sz w:val="1"/>
                <w:szCs w:val="1"/>
                <w:color w:val="auto"/>
              </w:rPr>
            </w:pPr>
          </w:p>
        </w:tc>
      </w:tr>
      <w:tr>
        <w:trPr>
          <w:trHeight w:val="186"/>
        </w:trPr>
        <w:tc>
          <w:tcPr>
            <w:tcW w:w="4860" w:type="dxa"/>
            <w:vAlign w:val="bottom"/>
          </w:tcPr>
          <w:p>
            <w:pPr>
              <w:ind w:left="16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Restructuring charges at the education division</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0.59</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8"/>
        </w:trPr>
        <w:tc>
          <w:tcPr>
            <w:tcW w:w="4860" w:type="dxa"/>
            <w:vAlign w:val="bottom"/>
          </w:tcPr>
          <w:p>
            <w:pPr>
              <w:ind w:left="380"/>
              <w:spacing w:after="0" w:line="159" w:lineRule="exact"/>
              <w:rPr>
                <w:sz w:val="20"/>
                <w:szCs w:val="20"/>
                <w:color w:val="auto"/>
              </w:rPr>
            </w:pPr>
            <w:r>
              <w:rPr>
                <w:rFonts w:ascii="Arial" w:cs="Arial" w:eastAsia="Arial" w:hAnsi="Arial"/>
                <w:sz w:val="15"/>
                <w:szCs w:val="15"/>
                <w:color w:val="auto"/>
              </w:rPr>
              <w:t>Reduction to operating expenses in connection with the broadcast</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(0.06)</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(0.15)</w:t>
            </w:r>
          </w:p>
        </w:tc>
        <w:tc>
          <w:tcPr>
            <w:tcW w:w="0" w:type="dxa"/>
            <w:vAlign w:val="bottom"/>
          </w:tcPr>
          <w:p>
            <w:pPr>
              <w:spacing w:after="0"/>
              <w:rPr>
                <w:sz w:val="1"/>
                <w:szCs w:val="1"/>
                <w:color w:val="auto"/>
              </w:rPr>
            </w:pPr>
          </w:p>
        </w:tc>
      </w:tr>
      <w:tr>
        <w:trPr>
          <w:trHeight w:val="193"/>
        </w:trPr>
        <w:tc>
          <w:tcPr>
            <w:tcW w:w="4860" w:type="dxa"/>
            <w:vAlign w:val="bottom"/>
          </w:tcPr>
          <w:p>
            <w:pPr>
              <w:ind w:left="500"/>
              <w:spacing w:after="0"/>
              <w:rPr>
                <w:sz w:val="20"/>
                <w:szCs w:val="20"/>
                <w:color w:val="auto"/>
              </w:rPr>
            </w:pPr>
            <w:r>
              <w:rPr>
                <w:rFonts w:ascii="Arial" w:cs="Arial" w:eastAsia="Arial" w:hAnsi="Arial"/>
                <w:sz w:val="15"/>
                <w:szCs w:val="15"/>
                <w:color w:val="auto"/>
              </w:rPr>
              <w:t>spectrum repacking</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Intangible and other long-lived asset impairment charges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0.05</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Settlement gain related to retiree annuity pension purchase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(12.50)</w:t>
            </w:r>
          </w:p>
        </w:tc>
        <w:tc>
          <w:tcPr>
            <w:tcW w:w="0" w:type="dxa"/>
            <w:vAlign w:val="bottom"/>
          </w:tcPr>
          <w:p>
            <w:pPr>
              <w:spacing w:after="0"/>
              <w:rPr>
                <w:sz w:val="1"/>
                <w:szCs w:val="1"/>
                <w:color w:val="auto"/>
              </w:rPr>
            </w:pPr>
          </w:p>
        </w:tc>
      </w:tr>
      <w:tr>
        <w:trPr>
          <w:trHeight w:val="158"/>
        </w:trPr>
        <w:tc>
          <w:tcPr>
            <w:tcW w:w="4860" w:type="dxa"/>
            <w:vAlign w:val="bottom"/>
          </w:tcPr>
          <w:p>
            <w:pPr>
              <w:ind w:left="380"/>
              <w:spacing w:after="0" w:line="159" w:lineRule="exact"/>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1.69</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60" w:type="dxa"/>
            <w:vAlign w:val="bottom"/>
          </w:tcPr>
          <w:p>
            <w:pPr>
              <w:ind w:left="50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(9.08)</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(6.92)</w:t>
            </w: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Non-operating loss, net, from cost method investments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0.70</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Gain on sale of Megaphone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(30.78)</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Foreign currency loss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0.45</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0.33</w:t>
            </w:r>
          </w:p>
        </w:tc>
        <w:tc>
          <w:tcPr>
            <w:tcW w:w="0" w:type="dxa"/>
            <w:vAlign w:val="bottom"/>
          </w:tcPr>
          <w:p>
            <w:pPr>
              <w:spacing w:after="0"/>
              <w:rPr>
                <w:sz w:val="1"/>
                <w:szCs w:val="1"/>
                <w:color w:val="auto"/>
              </w:rPr>
            </w:pPr>
          </w:p>
        </w:tc>
      </w:tr>
      <w:tr>
        <w:trPr>
          <w:trHeight w:val="212"/>
        </w:trPr>
        <w:tc>
          <w:tcPr>
            <w:tcW w:w="4860" w:type="dxa"/>
            <w:vAlign w:val="bottom"/>
          </w:tcPr>
          <w:p>
            <w:pPr>
              <w:ind w:left="380"/>
              <w:spacing w:after="0"/>
              <w:rPr>
                <w:sz w:val="20"/>
                <w:szCs w:val="20"/>
                <w:color w:val="auto"/>
              </w:rPr>
            </w:pPr>
            <w:r>
              <w:rPr>
                <w:rFonts w:ascii="Arial" w:cs="Arial" w:eastAsia="Arial" w:hAnsi="Arial"/>
                <w:sz w:val="15"/>
                <w:szCs w:val="15"/>
                <w:color w:val="auto"/>
              </w:rPr>
              <w:t>Tax expense related to stock compensation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0.48</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860" w:type="dxa"/>
            <w:vAlign w:val="bottom"/>
          </w:tcPr>
          <w:p>
            <w:pPr>
              <w:ind w:left="16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11.38</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9.13</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886" w:right="339" w:bottom="1440" w:gutter="0" w:footer="0" w:header="0"/>
        </w:sectPr>
      </w:pPr>
    </w:p>
    <w:bookmarkStart w:id="17" w:name="page18"/>
    <w:bookmarkEnd w:id="17"/>
    <w:p>
      <w:pPr>
        <w:ind w:left="6700"/>
        <w:spacing w:after="0"/>
        <w:rPr>
          <w:sz w:val="20"/>
          <w:szCs w:val="20"/>
          <w:color w:val="auto"/>
        </w:rPr>
      </w:pPr>
      <w:r>
        <w:rPr>
          <w:rFonts w:ascii="Arial" w:cs="Arial" w:eastAsia="Arial" w:hAnsi="Arial"/>
          <w:sz w:val="16"/>
          <w:szCs w:val="16"/>
          <w:b w:val="1"/>
          <w:bCs w:val="1"/>
          <w:color w:val="auto"/>
        </w:rPr>
        <w:t>Twelve Months Ended December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center"/>
              <w:ind w:right="164"/>
              <w:spacing w:after="0"/>
              <w:rPr>
                <w:sz w:val="20"/>
                <w:szCs w:val="20"/>
                <w:color w:val="auto"/>
              </w:rPr>
            </w:pPr>
            <w:r>
              <w:rPr>
                <w:rFonts w:ascii="Arial" w:cs="Arial" w:eastAsia="Arial" w:hAnsi="Arial"/>
                <w:sz w:val="15"/>
                <w:szCs w:val="15"/>
                <w:b w:val="1"/>
                <w:bCs w:val="1"/>
                <w:color w:val="auto"/>
              </w:rPr>
              <w:t>2020</w:t>
            </w: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center"/>
              <w:ind w:right="204"/>
              <w:spacing w:after="0"/>
              <w:rPr>
                <w:sz w:val="20"/>
                <w:szCs w:val="20"/>
                <w:color w:val="auto"/>
              </w:rPr>
            </w:pPr>
            <w:r>
              <w:rPr>
                <w:rFonts w:ascii="Arial" w:cs="Arial" w:eastAsia="Arial" w:hAnsi="Arial"/>
                <w:sz w:val="15"/>
                <w:szCs w:val="15"/>
                <w:b w:val="1"/>
                <w:bCs w:val="1"/>
                <w:color w:val="auto"/>
              </w:rPr>
              <w:t>2019</w:t>
            </w:r>
          </w:p>
        </w:tc>
        <w:tc>
          <w:tcPr>
            <w:tcW w:w="2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44"/>
              <w:spacing w:after="0" w:line="142" w:lineRule="exact"/>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restart"/>
          </w:tcPr>
          <w:p>
            <w:pPr>
              <w:jc w:val="center"/>
              <w:ind w:right="144"/>
              <w:spacing w:after="0" w:line="149" w:lineRule="exact"/>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5"/>
                <w:szCs w:val="5"/>
                <w:color w:val="auto"/>
              </w:rPr>
            </w:pPr>
          </w:p>
        </w:tc>
        <w:tc>
          <w:tcPr>
            <w:tcW w:w="900" w:type="dxa"/>
            <w:vAlign w:val="bottom"/>
            <w:vMerge w:val="restart"/>
          </w:tcPr>
          <w:p>
            <w:pPr>
              <w:jc w:val="center"/>
              <w:ind w:right="164"/>
              <w:spacing w:after="0" w:line="149" w:lineRule="exact"/>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center"/>
              <w:ind w:right="204"/>
              <w:spacing w:after="0" w:line="149" w:lineRule="exact"/>
              <w:rPr>
                <w:sz w:val="20"/>
                <w:szCs w:val="20"/>
                <w:color w:val="auto"/>
              </w:rPr>
            </w:pPr>
            <w:r>
              <w:rPr>
                <w:rFonts w:ascii="Arial" w:cs="Arial" w:eastAsia="Arial" w:hAnsi="Arial"/>
                <w:sz w:val="15"/>
                <w:szCs w:val="15"/>
                <w:color w:val="auto"/>
              </w:rPr>
              <w:t>Income</w:t>
            </w: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980" w:type="dxa"/>
            <w:vAlign w:val="bottom"/>
            <w:gridSpan w:val="2"/>
            <w:vMerge w:val="restart"/>
          </w:tcPr>
          <w:p>
            <w:pPr>
              <w:jc w:val="right"/>
              <w:ind w:right="4"/>
              <w:spacing w:after="0" w:line="149" w:lineRule="exact"/>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7"/>
                <w:szCs w:val="7"/>
                <w:color w:val="auto"/>
              </w:rPr>
            </w:pPr>
          </w:p>
        </w:tc>
        <w:tc>
          <w:tcPr>
            <w:tcW w:w="840" w:type="dxa"/>
            <w:vAlign w:val="bottom"/>
            <w:vMerge w:val="restart"/>
          </w:tcPr>
          <w:p>
            <w:pPr>
              <w:jc w:val="center"/>
              <w:ind w:right="124"/>
              <w:spacing w:after="0" w:line="149" w:lineRule="exact"/>
              <w:rPr>
                <w:sz w:val="20"/>
                <w:szCs w:val="20"/>
                <w:color w:val="auto"/>
              </w:rPr>
            </w:pPr>
            <w:r>
              <w:rPr>
                <w:rFonts w:ascii="Arial" w:cs="Arial" w:eastAsia="Arial" w:hAnsi="Arial"/>
                <w:sz w:val="15"/>
                <w:szCs w:val="15"/>
                <w:color w:val="auto"/>
              </w:rPr>
              <w:t>before</w:t>
            </w:r>
          </w:p>
        </w:tc>
        <w:tc>
          <w:tcPr>
            <w:tcW w:w="2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980" w:type="dxa"/>
            <w:vAlign w:val="bottom"/>
            <w:gridSpan w:val="2"/>
            <w:vMerge w:val="restart"/>
          </w:tcPr>
          <w:p>
            <w:pPr>
              <w:jc w:val="right"/>
              <w:ind w:right="24"/>
              <w:spacing w:after="0" w:line="149" w:lineRule="exact"/>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68"/>
        </w:trPr>
        <w:tc>
          <w:tcPr>
            <w:tcW w:w="4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restart"/>
          </w:tcPr>
          <w:p>
            <w:pPr>
              <w:jc w:val="center"/>
              <w:ind w:right="144"/>
              <w:spacing w:after="0" w:line="149" w:lineRule="exact"/>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5"/>
                <w:szCs w:val="5"/>
                <w:color w:val="auto"/>
              </w:rPr>
            </w:pPr>
          </w:p>
        </w:tc>
        <w:tc>
          <w:tcPr>
            <w:tcW w:w="900" w:type="dxa"/>
            <w:vAlign w:val="bottom"/>
            <w:vMerge w:val="restart"/>
          </w:tcPr>
          <w:p>
            <w:pPr>
              <w:jc w:val="center"/>
              <w:ind w:right="164"/>
              <w:spacing w:after="0" w:line="149" w:lineRule="exact"/>
              <w:rPr>
                <w:sz w:val="20"/>
                <w:szCs w:val="20"/>
                <w:color w:val="auto"/>
              </w:rPr>
            </w:pPr>
            <w:r>
              <w:rPr>
                <w:rFonts w:ascii="Arial" w:cs="Arial" w:eastAsia="Arial" w:hAnsi="Arial"/>
                <w:sz w:val="15"/>
                <w:szCs w:val="15"/>
                <w:b w:val="1"/>
                <w:bCs w:val="1"/>
                <w:color w:val="auto"/>
                <w:w w:val="98"/>
              </w:rPr>
              <w:t>Taxes</w:t>
            </w:r>
          </w:p>
        </w:tc>
        <w:tc>
          <w:tcPr>
            <w:tcW w:w="9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center"/>
              <w:ind w:right="184"/>
              <w:spacing w:after="0" w:line="149" w:lineRule="exact"/>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90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160" w:type="dxa"/>
            <w:vAlign w:val="bottom"/>
          </w:tcPr>
          <w:p>
            <w:pPr>
              <w:spacing w:after="0"/>
              <w:rPr>
                <w:sz w:val="10"/>
                <w:szCs w:val="10"/>
                <w:color w:val="auto"/>
              </w:rPr>
            </w:pPr>
          </w:p>
        </w:tc>
        <w:tc>
          <w:tcPr>
            <w:tcW w:w="86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rPr>
              <w:t>taxes</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49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4900" w:type="dxa"/>
            <w:vAlign w:val="bottom"/>
          </w:tcPr>
          <w:p>
            <w:pPr>
              <w:ind w:left="180"/>
              <w:spacing w:after="0" w:line="142" w:lineRule="exact"/>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900" w:type="dxa"/>
            <w:vAlign w:val="bottom"/>
          </w:tcPr>
          <w:p>
            <w:pPr>
              <w:ind w:left="18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407,268</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107,300</w:t>
            </w:r>
          </w:p>
        </w:tc>
        <w:tc>
          <w:tcPr>
            <w:tcW w:w="20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299,968</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426,479</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98,600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327,879</w:t>
            </w:r>
          </w:p>
        </w:tc>
        <w:tc>
          <w:tcPr>
            <w:tcW w:w="0" w:type="dxa"/>
            <w:vAlign w:val="bottom"/>
          </w:tcPr>
          <w:p>
            <w:pPr>
              <w:spacing w:after="0"/>
              <w:rPr>
                <w:sz w:val="1"/>
                <w:szCs w:val="1"/>
                <w:color w:val="auto"/>
              </w:rPr>
            </w:pPr>
          </w:p>
        </w:tc>
      </w:tr>
      <w:tr>
        <w:trPr>
          <w:trHeight w:val="212"/>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397</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300,365</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327,855</w:t>
            </w:r>
          </w:p>
        </w:tc>
        <w:tc>
          <w:tcPr>
            <w:tcW w:w="0" w:type="dxa"/>
            <w:vAlign w:val="bottom"/>
          </w:tcPr>
          <w:p>
            <w:pPr>
              <w:spacing w:after="0"/>
              <w:rPr>
                <w:sz w:val="1"/>
                <w:szCs w:val="1"/>
                <w:color w:val="auto"/>
              </w:rPr>
            </w:pPr>
          </w:p>
        </w:tc>
      </w:tr>
      <w:tr>
        <w:trPr>
          <w:trHeight w:val="203"/>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Provision related to a VAT receivable</w:t>
            </w:r>
          </w:p>
        </w:tc>
        <w:tc>
          <w:tcPr>
            <w:tcW w:w="16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17,132</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3,255</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13,877</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Restructuring charges at the education division</w:t>
            </w:r>
          </w:p>
        </w:tc>
        <w:tc>
          <w:tcPr>
            <w:tcW w:w="16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16,075</w:t>
            </w:r>
          </w:p>
        </w:tc>
        <w:tc>
          <w:tcPr>
            <w:tcW w:w="20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4,131</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11,944</w:t>
            </w: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Accelerated depreciation at other businesses</w:t>
            </w:r>
          </w:p>
        </w:tc>
        <w:tc>
          <w:tcPr>
            <w:tcW w:w="16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5,694</w:t>
            </w:r>
          </w:p>
        </w:tc>
        <w:tc>
          <w:tcPr>
            <w:tcW w:w="20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1,569</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4,125</w:t>
            </w: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8"/>
        </w:trPr>
        <w:tc>
          <w:tcPr>
            <w:tcW w:w="4900" w:type="dxa"/>
            <w:vAlign w:val="bottom"/>
          </w:tcPr>
          <w:p>
            <w:pPr>
              <w:ind w:left="400"/>
              <w:spacing w:after="0" w:line="159" w:lineRule="exact"/>
              <w:rPr>
                <w:sz w:val="20"/>
                <w:szCs w:val="20"/>
                <w:color w:val="auto"/>
              </w:rPr>
            </w:pPr>
            <w:r>
              <w:rPr>
                <w:rFonts w:ascii="Arial" w:cs="Arial" w:eastAsia="Arial" w:hAnsi="Arial"/>
                <w:sz w:val="15"/>
                <w:szCs w:val="15"/>
                <w:color w:val="auto"/>
              </w:rPr>
              <w:t>Reduction to operating expenses in connection with the broadcast</w:t>
            </w:r>
          </w:p>
        </w:tc>
        <w:tc>
          <w:tcPr>
            <w:tcW w:w="160" w:type="dxa"/>
            <w:vAlign w:val="bottom"/>
          </w:tcPr>
          <w:p>
            <w:pPr>
              <w:spacing w:after="0"/>
              <w:rPr>
                <w:sz w:val="13"/>
                <w:szCs w:val="13"/>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(2,911)</w:t>
            </w:r>
          </w:p>
        </w:tc>
        <w:tc>
          <w:tcPr>
            <w:tcW w:w="200" w:type="dxa"/>
            <w:vAlign w:val="bottom"/>
          </w:tcPr>
          <w:p>
            <w:pPr>
              <w:spacing w:after="0"/>
              <w:rPr>
                <w:sz w:val="13"/>
                <w:szCs w:val="13"/>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(655)</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(2,256)</w:t>
            </w:r>
          </w:p>
        </w:tc>
        <w:tc>
          <w:tcPr>
            <w:tcW w:w="2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(11,821)</w:t>
            </w:r>
          </w:p>
        </w:tc>
        <w:tc>
          <w:tcPr>
            <w:tcW w:w="240" w:type="dxa"/>
            <w:vAlign w:val="bottom"/>
          </w:tcPr>
          <w:p>
            <w:pPr>
              <w:spacing w:after="0"/>
              <w:rPr>
                <w:sz w:val="13"/>
                <w:szCs w:val="13"/>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color w:val="auto"/>
              </w:rPr>
              <w:t>(2,719)</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(9,102)</w:t>
            </w:r>
          </w:p>
        </w:tc>
        <w:tc>
          <w:tcPr>
            <w:tcW w:w="0" w:type="dxa"/>
            <w:vAlign w:val="bottom"/>
          </w:tcPr>
          <w:p>
            <w:pPr>
              <w:spacing w:after="0"/>
              <w:rPr>
                <w:sz w:val="1"/>
                <w:szCs w:val="1"/>
                <w:color w:val="auto"/>
              </w:rPr>
            </w:pPr>
          </w:p>
        </w:tc>
      </w:tr>
      <w:tr>
        <w:trPr>
          <w:trHeight w:val="193"/>
        </w:trPr>
        <w:tc>
          <w:tcPr>
            <w:tcW w:w="4900" w:type="dxa"/>
            <w:vAlign w:val="bottom"/>
          </w:tcPr>
          <w:p>
            <w:pPr>
              <w:ind w:left="520"/>
              <w:spacing w:after="0"/>
              <w:rPr>
                <w:sz w:val="20"/>
                <w:szCs w:val="20"/>
                <w:color w:val="auto"/>
              </w:rPr>
            </w:pPr>
            <w:r>
              <w:rPr>
                <w:rFonts w:ascii="Arial" w:cs="Arial" w:eastAsia="Arial" w:hAnsi="Arial"/>
                <w:sz w:val="15"/>
                <w:szCs w:val="15"/>
                <w:color w:val="auto"/>
              </w:rPr>
              <w:t>spectrum repacking</w:t>
            </w: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27,934</w:t>
            </w:r>
          </w:p>
        </w:tc>
        <w:tc>
          <w:tcPr>
            <w:tcW w:w="20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7,700</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20,234</w:t>
            </w: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7,800</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1,794</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6,006</w:t>
            </w:r>
          </w:p>
        </w:tc>
        <w:tc>
          <w:tcPr>
            <w:tcW w:w="0" w:type="dxa"/>
            <w:vAlign w:val="bottom"/>
          </w:tcPr>
          <w:p>
            <w:pPr>
              <w:spacing w:after="0"/>
              <w:rPr>
                <w:sz w:val="1"/>
                <w:szCs w:val="1"/>
                <w:color w:val="auto"/>
              </w:rPr>
            </w:pPr>
          </w:p>
        </w:tc>
      </w:tr>
      <w:tr>
        <w:trPr>
          <w:trHeight w:val="158"/>
        </w:trPr>
        <w:tc>
          <w:tcPr>
            <w:tcW w:w="4900" w:type="dxa"/>
            <w:vAlign w:val="bottom"/>
          </w:tcPr>
          <w:p>
            <w:pPr>
              <w:ind w:left="400"/>
              <w:spacing w:after="0" w:line="159" w:lineRule="exact"/>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3"/>
                <w:szCs w:val="13"/>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8,483</w:t>
            </w:r>
          </w:p>
        </w:tc>
        <w:tc>
          <w:tcPr>
            <w:tcW w:w="200" w:type="dxa"/>
            <w:vAlign w:val="bottom"/>
          </w:tcPr>
          <w:p>
            <w:pPr>
              <w:spacing w:after="0"/>
              <w:rPr>
                <w:sz w:val="13"/>
                <w:szCs w:val="13"/>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8,483</w:t>
            </w:r>
          </w:p>
        </w:tc>
        <w:tc>
          <w:tcPr>
            <w:tcW w:w="280" w:type="dxa"/>
            <w:vAlign w:val="bottom"/>
          </w:tcPr>
          <w:p>
            <w:pPr>
              <w:spacing w:after="0"/>
              <w:rPr>
                <w:sz w:val="13"/>
                <w:szCs w:val="13"/>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Settlement gain related to retiree annuity pension purchase</w:t>
            </w:r>
          </w:p>
        </w:tc>
        <w:tc>
          <w:tcPr>
            <w:tcW w:w="16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(91,676)</w:t>
            </w:r>
          </w:p>
        </w:tc>
        <w:tc>
          <w:tcPr>
            <w:tcW w:w="24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(24,752)</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(66,924)</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SIP</w:t>
            </w:r>
          </w:p>
        </w:tc>
        <w:tc>
          <w:tcPr>
            <w:tcW w:w="16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11,548</w:t>
            </w:r>
          </w:p>
        </w:tc>
        <w:tc>
          <w:tcPr>
            <w:tcW w:w="20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3,071</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8,477</w:t>
            </w: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6,607</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1,520</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5,087</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(60,787)</w:t>
            </w:r>
          </w:p>
        </w:tc>
        <w:tc>
          <w:tcPr>
            <w:tcW w:w="20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(16,122)</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(44,665)</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(98,668)</w:t>
            </w:r>
          </w:p>
        </w:tc>
        <w:tc>
          <w:tcPr>
            <w:tcW w:w="24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(24,667)</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(74,001)</w:t>
            </w:r>
          </w:p>
        </w:tc>
        <w:tc>
          <w:tcPr>
            <w:tcW w:w="0" w:type="dxa"/>
            <w:vAlign w:val="bottom"/>
          </w:tcPr>
          <w:p>
            <w:pPr>
              <w:spacing w:after="0"/>
              <w:rPr>
                <w:sz w:val="1"/>
                <w:szCs w:val="1"/>
                <w:color w:val="auto"/>
              </w:rPr>
            </w:pPr>
          </w:p>
        </w:tc>
      </w:tr>
      <w:tr>
        <w:trPr>
          <w:trHeight w:val="158"/>
        </w:trPr>
        <w:tc>
          <w:tcPr>
            <w:tcW w:w="4900" w:type="dxa"/>
            <w:vAlign w:val="bottom"/>
          </w:tcPr>
          <w:p>
            <w:pPr>
              <w:ind w:left="400"/>
              <w:spacing w:after="0" w:line="159" w:lineRule="exact"/>
              <w:rPr>
                <w:sz w:val="20"/>
                <w:szCs w:val="20"/>
                <w:color w:val="auto"/>
              </w:rPr>
            </w:pPr>
            <w:r>
              <w:rPr>
                <w:rFonts w:ascii="Arial" w:cs="Arial" w:eastAsia="Arial" w:hAnsi="Arial"/>
                <w:sz w:val="15"/>
                <w:szCs w:val="15"/>
                <w:color w:val="auto"/>
              </w:rPr>
              <w:t>Non-operating loss (gain), net, from cost and equity method</w:t>
            </w:r>
          </w:p>
        </w:tc>
        <w:tc>
          <w:tcPr>
            <w:tcW w:w="160" w:type="dxa"/>
            <w:vAlign w:val="bottom"/>
          </w:tcPr>
          <w:p>
            <w:pPr>
              <w:spacing w:after="0"/>
              <w:rPr>
                <w:sz w:val="13"/>
                <w:szCs w:val="13"/>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1,490</w:t>
            </w:r>
          </w:p>
        </w:tc>
        <w:tc>
          <w:tcPr>
            <w:tcW w:w="200" w:type="dxa"/>
            <w:vAlign w:val="bottom"/>
          </w:tcPr>
          <w:p>
            <w:pPr>
              <w:spacing w:after="0"/>
              <w:rPr>
                <w:sz w:val="13"/>
                <w:szCs w:val="13"/>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395</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1,095</w:t>
            </w:r>
          </w:p>
        </w:tc>
        <w:tc>
          <w:tcPr>
            <w:tcW w:w="2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(5,080)</w:t>
            </w:r>
          </w:p>
        </w:tc>
        <w:tc>
          <w:tcPr>
            <w:tcW w:w="240" w:type="dxa"/>
            <w:vAlign w:val="bottom"/>
          </w:tcPr>
          <w:p>
            <w:pPr>
              <w:spacing w:after="0"/>
              <w:rPr>
                <w:sz w:val="13"/>
                <w:szCs w:val="13"/>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color w:val="auto"/>
              </w:rPr>
              <w:t>(1,168)</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(3,912)</w:t>
            </w:r>
          </w:p>
        </w:tc>
        <w:tc>
          <w:tcPr>
            <w:tcW w:w="0" w:type="dxa"/>
            <w:vAlign w:val="bottom"/>
          </w:tcPr>
          <w:p>
            <w:pPr>
              <w:spacing w:after="0"/>
              <w:rPr>
                <w:sz w:val="1"/>
                <w:szCs w:val="1"/>
                <w:color w:val="auto"/>
              </w:rPr>
            </w:pPr>
          </w:p>
        </w:tc>
      </w:tr>
      <w:tr>
        <w:trPr>
          <w:trHeight w:val="193"/>
        </w:trPr>
        <w:tc>
          <w:tcPr>
            <w:tcW w:w="4900" w:type="dxa"/>
            <w:vAlign w:val="bottom"/>
          </w:tcPr>
          <w:p>
            <w:pPr>
              <w:ind w:left="520"/>
              <w:spacing w:after="0"/>
              <w:rPr>
                <w:sz w:val="20"/>
                <w:szCs w:val="20"/>
                <w:color w:val="auto"/>
              </w:rPr>
            </w:pPr>
            <w:r>
              <w:rPr>
                <w:rFonts w:ascii="Arial" w:cs="Arial" w:eastAsia="Arial" w:hAnsi="Arial"/>
                <w:sz w:val="15"/>
                <w:szCs w:val="15"/>
                <w:color w:val="auto"/>
              </w:rPr>
              <w:t>investments</w:t>
            </w: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Gain on sale of Gimlet Media</w:t>
            </w:r>
          </w:p>
        </w:tc>
        <w:tc>
          <w:tcPr>
            <w:tcW w:w="16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(28,994)</w:t>
            </w:r>
          </w:p>
        </w:tc>
        <w:tc>
          <w:tcPr>
            <w:tcW w:w="24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(7,248)</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(21,746)</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Gain on sale of Megaphone</w:t>
            </w:r>
          </w:p>
        </w:tc>
        <w:tc>
          <w:tcPr>
            <w:tcW w:w="16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(209,787)</w:t>
            </w:r>
          </w:p>
        </w:tc>
        <w:tc>
          <w:tcPr>
            <w:tcW w:w="20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(55,580)</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(154,207)</w:t>
            </w: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Foreign currency loss</w:t>
            </w:r>
          </w:p>
        </w:tc>
        <w:tc>
          <w:tcPr>
            <w:tcW w:w="16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2,153</w:t>
            </w:r>
          </w:p>
        </w:tc>
        <w:tc>
          <w:tcPr>
            <w:tcW w:w="20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553</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1,600</w:t>
            </w: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1,070</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268</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802</w:t>
            </w:r>
          </w:p>
        </w:tc>
        <w:tc>
          <w:tcPr>
            <w:tcW w:w="0" w:type="dxa"/>
            <w:vAlign w:val="bottom"/>
          </w:tcPr>
          <w:p>
            <w:pPr>
              <w:spacing w:after="0"/>
              <w:rPr>
                <w:sz w:val="1"/>
                <w:szCs w:val="1"/>
                <w:color w:val="auto"/>
              </w:rPr>
            </w:pPr>
          </w:p>
        </w:tc>
      </w:tr>
      <w:tr>
        <w:trPr>
          <w:trHeight w:val="212"/>
        </w:trPr>
        <w:tc>
          <w:tcPr>
            <w:tcW w:w="4900" w:type="dxa"/>
            <w:vAlign w:val="bottom"/>
          </w:tcPr>
          <w:p>
            <w:pPr>
              <w:ind w:left="400"/>
              <w:spacing w:after="0"/>
              <w:rPr>
                <w:sz w:val="20"/>
                <w:szCs w:val="20"/>
                <w:color w:val="auto"/>
              </w:rPr>
            </w:pPr>
            <w:r>
              <w:rPr>
                <w:rFonts w:ascii="Arial" w:cs="Arial" w:eastAsia="Arial" w:hAnsi="Arial"/>
                <w:sz w:val="15"/>
                <w:szCs w:val="15"/>
                <w:color w:val="auto"/>
              </w:rPr>
              <w:t>Tax expense (benefit) related to stock compensation</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(2,912)</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2,912</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1,700</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(1,700)</w:t>
            </w:r>
          </w:p>
        </w:tc>
        <w:tc>
          <w:tcPr>
            <w:tcW w:w="0" w:type="dxa"/>
            <w:vAlign w:val="bottom"/>
          </w:tcPr>
          <w:p>
            <w:pPr>
              <w:spacing w:after="0"/>
              <w:rPr>
                <w:sz w:val="1"/>
                <w:szCs w:val="1"/>
                <w:color w:val="auto"/>
              </w:rPr>
            </w:pPr>
          </w:p>
        </w:tc>
      </w:tr>
      <w:tr>
        <w:trPr>
          <w:trHeight w:val="196"/>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158,107</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176,242</w:t>
            </w:r>
          </w:p>
        </w:tc>
        <w:tc>
          <w:tcPr>
            <w:tcW w:w="0" w:type="dxa"/>
            <w:vAlign w:val="bottom"/>
          </w:tcPr>
          <w:p>
            <w:pPr>
              <w:spacing w:after="0"/>
              <w:rPr>
                <w:sz w:val="1"/>
                <w:szCs w:val="1"/>
                <w:color w:val="auto"/>
              </w:rPr>
            </w:pPr>
          </w:p>
        </w:tc>
      </w:tr>
      <w:tr>
        <w:trPr>
          <w:trHeight w:val="277"/>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900" w:type="dxa"/>
            <w:vAlign w:val="bottom"/>
          </w:tcPr>
          <w:p>
            <w:pPr>
              <w:ind w:left="2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58.13</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61.21</w:t>
            </w:r>
          </w:p>
        </w:tc>
        <w:tc>
          <w:tcPr>
            <w:tcW w:w="0" w:type="dxa"/>
            <w:vAlign w:val="bottom"/>
          </w:tcPr>
          <w:p>
            <w:pPr>
              <w:spacing w:after="0"/>
              <w:rPr>
                <w:sz w:val="1"/>
                <w:szCs w:val="1"/>
                <w:color w:val="auto"/>
              </w:rPr>
            </w:pPr>
          </w:p>
        </w:tc>
      </w:tr>
      <w:tr>
        <w:trPr>
          <w:trHeight w:val="186"/>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Provision related to a VAT receivable</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2.59</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Restructuring charges at the education division</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2.31</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Accelerated depreciation at other businesses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0.80</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8"/>
        </w:trPr>
        <w:tc>
          <w:tcPr>
            <w:tcW w:w="4900" w:type="dxa"/>
            <w:vAlign w:val="bottom"/>
          </w:tcPr>
          <w:p>
            <w:pPr>
              <w:ind w:left="400"/>
              <w:spacing w:after="0" w:line="159" w:lineRule="exact"/>
              <w:rPr>
                <w:sz w:val="20"/>
                <w:szCs w:val="20"/>
                <w:color w:val="auto"/>
              </w:rPr>
            </w:pPr>
            <w:r>
              <w:rPr>
                <w:rFonts w:ascii="Arial" w:cs="Arial" w:eastAsia="Arial" w:hAnsi="Arial"/>
                <w:sz w:val="15"/>
                <w:szCs w:val="15"/>
                <w:color w:val="auto"/>
              </w:rPr>
              <w:t>Reduction to operating expenses in connection with the broadcast</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(0.44)</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(1.70)</w:t>
            </w:r>
          </w:p>
        </w:tc>
        <w:tc>
          <w:tcPr>
            <w:tcW w:w="0" w:type="dxa"/>
            <w:vAlign w:val="bottom"/>
          </w:tcPr>
          <w:p>
            <w:pPr>
              <w:spacing w:after="0"/>
              <w:rPr>
                <w:sz w:val="1"/>
                <w:szCs w:val="1"/>
                <w:color w:val="auto"/>
              </w:rPr>
            </w:pPr>
          </w:p>
        </w:tc>
      </w:tr>
      <w:tr>
        <w:trPr>
          <w:trHeight w:val="193"/>
        </w:trPr>
        <w:tc>
          <w:tcPr>
            <w:tcW w:w="4900" w:type="dxa"/>
            <w:vAlign w:val="bottom"/>
          </w:tcPr>
          <w:p>
            <w:pPr>
              <w:ind w:left="520"/>
              <w:spacing w:after="0"/>
              <w:rPr>
                <w:sz w:val="20"/>
                <w:szCs w:val="20"/>
                <w:color w:val="auto"/>
              </w:rPr>
            </w:pPr>
            <w:r>
              <w:rPr>
                <w:rFonts w:ascii="Arial" w:cs="Arial" w:eastAsia="Arial" w:hAnsi="Arial"/>
                <w:sz w:val="15"/>
                <w:szCs w:val="15"/>
                <w:color w:val="auto"/>
              </w:rPr>
              <w:t>spectrum repacking</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3.92</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58"/>
        </w:trPr>
        <w:tc>
          <w:tcPr>
            <w:tcW w:w="4900" w:type="dxa"/>
            <w:vAlign w:val="bottom"/>
          </w:tcPr>
          <w:p>
            <w:pPr>
              <w:ind w:left="400"/>
              <w:spacing w:after="0" w:line="159" w:lineRule="exact"/>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1.64</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Settlement gain related to retiree annuity pension purchase</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(12.50)</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SIP</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1.64</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0.95</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(8.64)</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(13.82)</w:t>
            </w:r>
          </w:p>
        </w:tc>
        <w:tc>
          <w:tcPr>
            <w:tcW w:w="0" w:type="dxa"/>
            <w:vAlign w:val="bottom"/>
          </w:tcPr>
          <w:p>
            <w:pPr>
              <w:spacing w:after="0"/>
              <w:rPr>
                <w:sz w:val="1"/>
                <w:szCs w:val="1"/>
                <w:color w:val="auto"/>
              </w:rPr>
            </w:pPr>
          </w:p>
        </w:tc>
      </w:tr>
      <w:tr>
        <w:trPr>
          <w:trHeight w:val="158"/>
        </w:trPr>
        <w:tc>
          <w:tcPr>
            <w:tcW w:w="4900" w:type="dxa"/>
            <w:vAlign w:val="bottom"/>
          </w:tcPr>
          <w:p>
            <w:pPr>
              <w:ind w:left="400"/>
              <w:spacing w:after="0" w:line="159" w:lineRule="exact"/>
              <w:rPr>
                <w:sz w:val="20"/>
                <w:szCs w:val="20"/>
                <w:color w:val="auto"/>
              </w:rPr>
            </w:pPr>
            <w:r>
              <w:rPr>
                <w:rFonts w:ascii="Arial" w:cs="Arial" w:eastAsia="Arial" w:hAnsi="Arial"/>
                <w:sz w:val="15"/>
                <w:szCs w:val="15"/>
                <w:color w:val="auto"/>
              </w:rPr>
              <w:t>Non-operating loss (gain), net, from cost and equity method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0.21</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(0.73)</w:t>
            </w:r>
          </w:p>
        </w:tc>
        <w:tc>
          <w:tcPr>
            <w:tcW w:w="0" w:type="dxa"/>
            <w:vAlign w:val="bottom"/>
          </w:tcPr>
          <w:p>
            <w:pPr>
              <w:spacing w:after="0"/>
              <w:rPr>
                <w:sz w:val="1"/>
                <w:szCs w:val="1"/>
                <w:color w:val="auto"/>
              </w:rPr>
            </w:pPr>
          </w:p>
        </w:tc>
      </w:tr>
      <w:tr>
        <w:trPr>
          <w:trHeight w:val="193"/>
        </w:trPr>
        <w:tc>
          <w:tcPr>
            <w:tcW w:w="4900" w:type="dxa"/>
            <w:vAlign w:val="bottom"/>
          </w:tcPr>
          <w:p>
            <w:pPr>
              <w:ind w:left="520"/>
              <w:spacing w:after="0"/>
              <w:rPr>
                <w:sz w:val="20"/>
                <w:szCs w:val="20"/>
                <w:color w:val="auto"/>
              </w:rPr>
            </w:pPr>
            <w:r>
              <w:rPr>
                <w:rFonts w:ascii="Arial" w:cs="Arial" w:eastAsia="Arial" w:hAnsi="Arial"/>
                <w:sz w:val="15"/>
                <w:szCs w:val="15"/>
                <w:color w:val="auto"/>
              </w:rPr>
              <w:t>investments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Gain on sale of Gimlet Media</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(4.06)</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Gain on sale of Megaphone</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(29.84)</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Foreign currency loss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0.31</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0.15</w:t>
            </w:r>
          </w:p>
        </w:tc>
        <w:tc>
          <w:tcPr>
            <w:tcW w:w="0" w:type="dxa"/>
            <w:vAlign w:val="bottom"/>
          </w:tcPr>
          <w:p>
            <w:pPr>
              <w:spacing w:after="0"/>
              <w:rPr>
                <w:sz w:val="1"/>
                <w:szCs w:val="1"/>
                <w:color w:val="auto"/>
              </w:rPr>
            </w:pPr>
          </w:p>
        </w:tc>
      </w:tr>
      <w:tr>
        <w:trPr>
          <w:trHeight w:val="212"/>
        </w:trPr>
        <w:tc>
          <w:tcPr>
            <w:tcW w:w="4900" w:type="dxa"/>
            <w:vAlign w:val="bottom"/>
          </w:tcPr>
          <w:p>
            <w:pPr>
              <w:ind w:left="400"/>
              <w:spacing w:after="0"/>
              <w:rPr>
                <w:sz w:val="20"/>
                <w:szCs w:val="20"/>
                <w:color w:val="auto"/>
              </w:rPr>
            </w:pPr>
            <w:r>
              <w:rPr>
                <w:rFonts w:ascii="Arial" w:cs="Arial" w:eastAsia="Arial" w:hAnsi="Arial"/>
                <w:sz w:val="15"/>
                <w:szCs w:val="15"/>
                <w:color w:val="auto"/>
              </w:rPr>
              <w:t>Tax expense (benefit) related to stock compensation</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0.56</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(0.32)</w:t>
            </w:r>
          </w:p>
        </w:tc>
        <w:tc>
          <w:tcPr>
            <w:tcW w:w="0" w:type="dxa"/>
            <w:vAlign w:val="bottom"/>
          </w:tcPr>
          <w:p>
            <w:pPr>
              <w:spacing w:after="0"/>
              <w:rPr>
                <w:sz w:val="1"/>
                <w:szCs w:val="1"/>
                <w:color w:val="auto"/>
              </w:rPr>
            </w:pPr>
          </w:p>
        </w:tc>
      </w:tr>
      <w:tr>
        <w:trPr>
          <w:trHeight w:val="196"/>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30.60</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32.89</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sectPr>
      <w:pgSz w:w="11900" w:h="16838" w:orient="portrait"/>
      <w:cols w:equalWidth="0" w:num="1">
        <w:col w:w="11240"/>
      </w:cols>
      <w:pgMar w:left="320" w:top="10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2021-02-24T07:37:39Z</dcterms:created>
  <dcterms:modified xsi:type="dcterms:W3CDTF">2021-02-24T07:37:39Z</dcterms:modified>
</cp:coreProperties>
</file>