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2" w:lineRule="exact"/>
        <w:rPr>
          <w:sz w:val="24"/>
          <w:szCs w:val="24"/>
          <w:color w:val="auto"/>
        </w:rPr>
      </w:pPr>
    </w:p>
    <w:p>
      <w:pPr>
        <w:ind w:left="580" w:right="2700" w:hanging="572"/>
        <w:spacing w:after="0" w:line="269"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April 2,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2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of 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298"/>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3"/>
                <w:szCs w:val="23"/>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9" w:lineRule="exact"/>
        <w:rPr>
          <w:sz w:val="24"/>
          <w:szCs w:val="24"/>
          <w:color w:val="auto"/>
        </w:r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4" w:lineRule="exact"/>
        <w:rPr>
          <w:sz w:val="24"/>
          <w:szCs w:val="24"/>
          <w:color w:val="auto"/>
        </w:rPr>
      </w:pPr>
    </w:p>
    <w:p>
      <w:pPr>
        <w:ind w:left="460"/>
        <w:spacing w:after="0" w:line="207" w:lineRule="exact"/>
        <w:tabs>
          <w:tab w:leader="none" w:pos="8760" w:val="left"/>
          <w:tab w:leader="none" w:pos="9480" w:val="left"/>
        </w:tabs>
        <w:rPr>
          <w:sz w:val="20"/>
          <w:szCs w:val="20"/>
          <w:color w:val="auto"/>
        </w:rPr>
      </w:pPr>
      <w:r>
        <w:rPr>
          <w:rFonts w:ascii="Arial" w:cs="Arial" w:eastAsia="Arial" w:hAnsi="Arial"/>
          <w:sz w:val="16"/>
          <w:szCs w:val="16"/>
          <w:color w:val="auto"/>
        </w:rPr>
        <w:t>Indicate by check mark whether the registrant is an accelerated filer as defined by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97" w:lineRule="exact"/>
        <w:rPr>
          <w:sz w:val="24"/>
          <w:szCs w:val="24"/>
          <w:color w:val="auto"/>
        </w:rPr>
      </w:pPr>
    </w:p>
    <w:p>
      <w:pPr>
        <w:ind w:left="460"/>
        <w:spacing w:after="0" w:line="207"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940" w:type="dxa"/>
            <w:vAlign w:val="bottom"/>
          </w:tcPr>
          <w:p>
            <w:pPr>
              <w:ind w:left="460"/>
              <w:spacing w:after="0"/>
              <w:rPr>
                <w:sz w:val="20"/>
                <w:szCs w:val="20"/>
                <w:color w:val="auto"/>
              </w:rPr>
            </w:pPr>
            <w:r>
              <w:rPr>
                <w:rFonts w:ascii="Arial" w:cs="Arial" w:eastAsia="Arial" w:hAnsi="Arial"/>
                <w:sz w:val="18"/>
                <w:szCs w:val="18"/>
                <w:color w:val="auto"/>
              </w:rPr>
              <w:t>Shares outstanding at May 1, 2006:</w:t>
            </w:r>
          </w:p>
        </w:tc>
        <w:tc>
          <w:tcPr>
            <w:tcW w:w="5480" w:type="dxa"/>
            <w:vAlign w:val="bottom"/>
          </w:tcPr>
          <w:p>
            <w:pPr>
              <w:spacing w:after="0"/>
              <w:rPr>
                <w:sz w:val="19"/>
                <w:szCs w:val="19"/>
                <w:color w:val="auto"/>
              </w:rPr>
            </w:pPr>
          </w:p>
        </w:tc>
      </w:tr>
      <w:tr>
        <w:trPr>
          <w:trHeight w:val="291"/>
        </w:trPr>
        <w:tc>
          <w:tcPr>
            <w:tcW w:w="5940" w:type="dxa"/>
            <w:vAlign w:val="bottom"/>
          </w:tcPr>
          <w:p>
            <w:pPr>
              <w:ind w:left="2300"/>
              <w:spacing w:after="0"/>
              <w:rPr>
                <w:sz w:val="20"/>
                <w:szCs w:val="20"/>
                <w:color w:val="auto"/>
              </w:rPr>
            </w:pPr>
            <w:r>
              <w:rPr>
                <w:rFonts w:ascii="Arial" w:cs="Arial" w:eastAsia="Arial" w:hAnsi="Arial"/>
                <w:sz w:val="18"/>
                <w:szCs w:val="18"/>
                <w:color w:val="auto"/>
              </w:rPr>
              <w:t>Class A Common Stock</w:t>
            </w:r>
          </w:p>
        </w:tc>
        <w:tc>
          <w:tcPr>
            <w:tcW w:w="5480" w:type="dxa"/>
            <w:vAlign w:val="bottom"/>
          </w:tcPr>
          <w:p>
            <w:pPr>
              <w:ind w:left="1980"/>
              <w:spacing w:after="0"/>
              <w:rPr>
                <w:sz w:val="20"/>
                <w:szCs w:val="20"/>
                <w:color w:val="auto"/>
              </w:rPr>
            </w:pPr>
            <w:r>
              <w:rPr>
                <w:rFonts w:ascii="Arial" w:cs="Arial" w:eastAsia="Arial" w:hAnsi="Arial"/>
                <w:sz w:val="18"/>
                <w:szCs w:val="18"/>
                <w:color w:val="auto"/>
              </w:rPr>
              <w:t>1,722,250 Shares</w:t>
            </w:r>
          </w:p>
        </w:tc>
      </w:tr>
      <w:tr>
        <w:trPr>
          <w:trHeight w:val="222"/>
        </w:trPr>
        <w:tc>
          <w:tcPr>
            <w:tcW w:w="5940" w:type="dxa"/>
            <w:vAlign w:val="bottom"/>
          </w:tcPr>
          <w:p>
            <w:pPr>
              <w:ind w:left="2300"/>
              <w:spacing w:after="0"/>
              <w:rPr>
                <w:sz w:val="20"/>
                <w:szCs w:val="20"/>
                <w:color w:val="auto"/>
              </w:rPr>
            </w:pPr>
            <w:r>
              <w:rPr>
                <w:rFonts w:ascii="Arial" w:cs="Arial" w:eastAsia="Arial" w:hAnsi="Arial"/>
                <w:sz w:val="18"/>
                <w:szCs w:val="18"/>
                <w:color w:val="auto"/>
              </w:rPr>
              <w:t>Class B Common Stock</w:t>
            </w:r>
          </w:p>
        </w:tc>
        <w:tc>
          <w:tcPr>
            <w:tcW w:w="5480" w:type="dxa"/>
            <w:vAlign w:val="bottom"/>
          </w:tcPr>
          <w:p>
            <w:pPr>
              <w:ind w:left="1980"/>
              <w:spacing w:after="0"/>
              <w:rPr>
                <w:sz w:val="20"/>
                <w:szCs w:val="20"/>
                <w:color w:val="auto"/>
              </w:rPr>
            </w:pPr>
            <w:r>
              <w:rPr>
                <w:rFonts w:ascii="Arial" w:cs="Arial" w:eastAsia="Arial" w:hAnsi="Arial"/>
                <w:sz w:val="18"/>
                <w:szCs w:val="18"/>
                <w:color w:val="auto"/>
              </w:rPr>
              <w:t>7,880,485 Shares</w:t>
            </w:r>
          </w:p>
        </w:tc>
      </w:tr>
      <w:tr>
        <w:trPr>
          <w:trHeight w:val="215"/>
        </w:trPr>
        <w:tc>
          <w:tcPr>
            <w:tcW w:w="594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80" w:type="dxa"/>
            <w:vAlign w:val="bottom"/>
            <w:gridSpan w:val="8"/>
          </w:tcPr>
          <w:p>
            <w:pPr>
              <w:jc w:val="center"/>
              <w:ind w:right="2620"/>
              <w:spacing w:after="0"/>
              <w:rPr>
                <w:sz w:val="20"/>
                <w:szCs w:val="20"/>
                <w:color w:val="auto"/>
              </w:rPr>
            </w:pPr>
            <w:r>
              <w:rPr>
                <w:rFonts w:ascii="Arial" w:cs="Arial" w:eastAsia="Arial" w:hAnsi="Arial"/>
                <w:sz w:val="18"/>
                <w:szCs w:val="18"/>
                <w:b w:val="1"/>
                <w:bCs w:val="1"/>
                <w:color w:val="auto"/>
                <w:w w:val="97"/>
              </w:rPr>
              <w:t>THE WASHINGTON POST COMPANY</w:t>
            </w:r>
          </w:p>
        </w:tc>
        <w:tc>
          <w:tcPr>
            <w:tcW w:w="460" w:type="dxa"/>
            <w:vAlign w:val="bottom"/>
          </w:tcPr>
          <w:p>
            <w:pPr>
              <w:spacing w:after="0"/>
              <w:rPr>
                <w:sz w:val="19"/>
                <w:szCs w:val="19"/>
                <w:color w:val="auto"/>
              </w:rPr>
            </w:pPr>
          </w:p>
        </w:tc>
      </w:tr>
      <w:tr>
        <w:trPr>
          <w:trHeight w:val="378"/>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80" w:type="dxa"/>
            <w:vAlign w:val="bottom"/>
            <w:gridSpan w:val="8"/>
          </w:tcPr>
          <w:p>
            <w:pPr>
              <w:jc w:val="center"/>
              <w:ind w:right="2620"/>
              <w:spacing w:after="0"/>
              <w:rPr>
                <w:sz w:val="20"/>
                <w:szCs w:val="20"/>
                <w:color w:val="auto"/>
              </w:rPr>
            </w:pPr>
            <w:r>
              <w:rPr>
                <w:rFonts w:ascii="Arial" w:cs="Arial" w:eastAsia="Arial" w:hAnsi="Arial"/>
                <w:sz w:val="18"/>
                <w:szCs w:val="18"/>
                <w:b w:val="1"/>
                <w:bCs w:val="1"/>
                <w:color w:val="auto"/>
                <w:w w:val="91"/>
              </w:rPr>
              <w:t>Index to Form 10-Q</w:t>
            </w:r>
          </w:p>
        </w:tc>
        <w:tc>
          <w:tcPr>
            <w:tcW w:w="460" w:type="dxa"/>
            <w:vAlign w:val="bottom"/>
          </w:tcPr>
          <w:p>
            <w:pPr>
              <w:spacing w:after="0"/>
              <w:rPr>
                <w:sz w:val="24"/>
                <w:szCs w:val="24"/>
                <w:color w:val="auto"/>
              </w:rPr>
            </w:pPr>
          </w:p>
        </w:tc>
      </w:tr>
      <w:tr>
        <w:trPr>
          <w:trHeight w:val="380"/>
        </w:trPr>
        <w:tc>
          <w:tcPr>
            <w:tcW w:w="8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0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6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3"/>
          </w:tcPr>
          <w:p>
            <w:pPr>
              <w:spacing w:after="0"/>
              <w:rPr>
                <w:sz w:val="24"/>
                <w:szCs w:val="24"/>
                <w:color w:val="auto"/>
              </w:rPr>
            </w:pPr>
          </w:p>
        </w:tc>
        <w:tc>
          <w:tcPr>
            <w:tcW w:w="788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Statements of Income (Unaudited) for the Thirteen Weeks Ended April 2, 2006 and April 3, 2005</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b.   Condensed Consolidated Statements of Comprehensive Income (Unaudited) for the Thirteen Weeks Ended April 2, 2006 and April 3,</w:t>
              </w:r>
            </w:hyperlink>
          </w:p>
        </w:tc>
        <w:tc>
          <w:tcPr>
            <w:tcW w:w="46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0000EE"/>
            </w:tcBorders>
            <w:gridSpan w:val="3"/>
          </w:tcPr>
          <w:p>
            <w:pPr>
              <w:ind w:left="44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2005</w:t>
              </w:r>
            </w:hyperlink>
          </w:p>
        </w:tc>
        <w:tc>
          <w:tcPr>
            <w:tcW w:w="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Balance Sheets at April 2, 2006 (Unaudited) and January 1, 2006</w:t>
              </w:r>
            </w:hyperlink>
          </w:p>
        </w:tc>
        <w:tc>
          <w:tcPr>
            <w:tcW w:w="33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80" w:type="dxa"/>
            <w:vAlign w:val="bottom"/>
            <w:gridSpan w:val="15"/>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d.   Condensed Consolidated Statements of Cash Flows (Unaudited) for the Thirteen Weeks Ended April 2, 2006 and April 3, 2005</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Notes to Condensed Consolidated Financial Statements (Unaudited)</w:t>
              </w:r>
            </w:hyperlink>
          </w:p>
        </w:tc>
        <w:tc>
          <w:tcPr>
            <w:tcW w:w="4140" w:type="dxa"/>
            <w:vAlign w:val="bottom"/>
            <w:tcBorders>
              <w:top w:val="single" w:sz="8" w:color="0000EE"/>
            </w:tcBorders>
            <w:gridSpan w:val="4"/>
          </w:tcPr>
          <w:p>
            <w:pPr>
              <w:spacing w:after="0"/>
              <w:rPr>
                <w:sz w:val="24"/>
                <w:szCs w:val="24"/>
                <w:color w:val="auto"/>
              </w:rPr>
            </w:pPr>
          </w:p>
        </w:tc>
        <w:tc>
          <w:tcPr>
            <w:tcW w:w="7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Results of Operations and Financial Condition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78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3"/>
          </w:tcPr>
          <w:p>
            <w:pPr>
              <w:spacing w:after="0"/>
              <w:rPr>
                <w:sz w:val="24"/>
                <w:szCs w:val="24"/>
                <w:color w:val="auto"/>
              </w:rPr>
            </w:pPr>
          </w:p>
        </w:tc>
        <w:tc>
          <w:tcPr>
            <w:tcW w:w="58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08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460" w:type="dxa"/>
            <w:vAlign w:val="bottom"/>
          </w:tcPr>
          <w:p>
            <w:pPr>
              <w:spacing w:after="0"/>
              <w:rPr>
                <w:sz w:val="24"/>
                <w:szCs w:val="24"/>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840" w:type="dxa"/>
            <w:vAlign w:val="bottom"/>
            <w:tcBorders>
              <w:top w:val="single" w:sz="8" w:color="0000EE"/>
            </w:tcBorders>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2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9"/>
          </w:tcPr>
          <w:p>
            <w:pPr>
              <w:jc w:val="center"/>
              <w:ind w:left="4412"/>
              <w:spacing w:after="0"/>
              <w:rPr>
                <w:sz w:val="20"/>
                <w:szCs w:val="20"/>
                <w:color w:val="auto"/>
              </w:rPr>
            </w:pPr>
            <w:r>
              <w:rPr>
                <w:rFonts w:ascii="Arial" w:cs="Arial" w:eastAsia="Arial" w:hAnsi="Arial"/>
                <w:sz w:val="18"/>
                <w:szCs w:val="18"/>
                <w:color w:val="auto"/>
                <w:w w:val="79"/>
              </w:rPr>
              <w:t>2</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0"/>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2"/>
              </w:rPr>
              <w:t>April 2,</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2"/>
              </w:rPr>
              <w:t>April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327,165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189,319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408,934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325,383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948,280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833,930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493,638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452,453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266,469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49,025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810,521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725,941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137,759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cumulative effect of change in accounting principle</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132,749</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81,949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share-based payments, net of taxes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per common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00" w:type="dxa"/>
            <w:vAlign w:val="bottom"/>
            <w:gridSpan w:val="2"/>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00" w:type="dxa"/>
            <w:vAlign w:val="bottom"/>
            <w:gridSpan w:val="2"/>
          </w:tcPr>
          <w:p>
            <w:pPr>
              <w:ind w:left="568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6"/>
              </w:rPr>
              <w:t>April 2,</w:t>
            </w:r>
          </w:p>
        </w:tc>
        <w:tc>
          <w:tcPr>
            <w:tcW w:w="66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180" w:type="dxa"/>
            <w:vAlign w:val="bottom"/>
          </w:tcPr>
          <w:p>
            <w:pPr>
              <w:spacing w:after="0"/>
              <w:rPr>
                <w:sz w:val="15"/>
                <w:szCs w:val="15"/>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$76,874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$ 66,591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5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2,599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5040" w:type="dxa"/>
            <w:vAlign w:val="bottom"/>
            <w:gridSpan w:val="3"/>
          </w:tcPr>
          <w:p>
            <w:pPr>
              <w:jc w:val="right"/>
              <w:ind w:right="280"/>
              <w:spacing w:after="0"/>
              <w:rPr>
                <w:sz w:val="20"/>
                <w:szCs w:val="20"/>
                <w:color w:val="auto"/>
              </w:rPr>
            </w:pPr>
            <w:r>
              <w:rPr>
                <w:rFonts w:ascii="Arial" w:cs="Arial" w:eastAsia="Arial" w:hAnsi="Arial"/>
                <w:sz w:val="18"/>
                <w:szCs w:val="18"/>
                <w:color w:val="auto"/>
              </w:rPr>
              <w:t>10,098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Less: reclassification adjustment for realized gains included in net income</w:t>
            </w:r>
          </w:p>
        </w:tc>
        <w:tc>
          <w:tcPr>
            <w:tcW w:w="41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12,697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Income tax (expense) benefit related to other comprehensive income</w:t>
            </w:r>
          </w:p>
        </w:tc>
        <w:tc>
          <w:tcPr>
            <w:tcW w:w="4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8,759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85,633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180" w:type="dxa"/>
            <w:vAlign w:val="bottom"/>
            <w:vMerge w:val="restart"/>
          </w:tcPr>
          <w:p>
            <w:pPr>
              <w:jc w:val="right"/>
              <w:ind w:right="3992"/>
              <w:spacing w:after="0"/>
              <w:rPr>
                <w:sz w:val="20"/>
                <w:szCs w:val="20"/>
                <w:color w:val="auto"/>
              </w:rPr>
            </w:pPr>
            <w:r>
              <w:rPr>
                <w:rFonts w:ascii="Arial" w:cs="Arial" w:eastAsia="Arial" w:hAnsi="Arial"/>
                <w:sz w:val="18"/>
                <w:szCs w:val="18"/>
                <w:color w:val="auto"/>
                <w:w w:val="79"/>
              </w:rPr>
              <w:t>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January 1,</w:t>
            </w: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3"/>
        </w:trPr>
        <w:tc>
          <w:tcPr>
            <w:tcW w:w="686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w:t>
            </w: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3"/>
              <w:spacing w:after="0" w:line="143" w:lineRule="exact"/>
              <w:rPr>
                <w:sz w:val="20"/>
                <w:szCs w:val="20"/>
                <w:color w:val="auto"/>
              </w:rPr>
            </w:pPr>
            <w:r>
              <w:rPr>
                <w:rFonts w:ascii="Arial" w:cs="Arial" w:eastAsia="Arial" w:hAnsi="Arial"/>
                <w:sz w:val="14"/>
                <w:szCs w:val="14"/>
                <w:b w:val="1"/>
                <w:bCs w:val="1"/>
                <w:color w:val="auto"/>
                <w:w w:val="86"/>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249,965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115,272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882,506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818,326</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327,047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327,569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equipment and fixtures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1,872,744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1,839,983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177,424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167,116</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2,377,215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2,334,668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(1,354,935)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(1,325,676)</w:t>
            </w: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1,022,280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1,008,992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Land</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42,257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1,151,287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1,142,632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1,137,449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1,125,570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Indefinite-lived intangible assets, net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494,692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Prepaid pension cost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599,302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593,469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4,679,779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383,626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260,598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231,208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727,996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694,721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liabilities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276,335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262,270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debt</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401,781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403,635</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1,979,374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1,934,083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12,267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Common shareholders’ equity</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194,620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192,672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3,910,512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3,871,587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64,473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(1,509,105)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(1,509,188)</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2,688,138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2,638,423</w:t>
            </w:r>
          </w:p>
        </w:tc>
        <w:tc>
          <w:tcPr>
            <w:tcW w:w="6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4,679,779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4,584,773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April 2,</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2"/>
              </w:rPr>
              <w:t>April 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76,874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Gain from sale of land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disposition of marketable equity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Foreign exchange(gain)loss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receivable,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80"/>
              <w:spacing w:after="0"/>
              <w:rPr>
                <w:sz w:val="20"/>
                <w:szCs w:val="20"/>
                <w:color w:val="auto"/>
              </w:rPr>
            </w:pPr>
            <w:r>
              <w:rPr>
                <w:rFonts w:ascii="Arial" w:cs="Arial" w:eastAsia="Arial" w:hAnsi="Arial"/>
                <w:sz w:val="18"/>
                <w:szCs w:val="18"/>
                <w:color w:val="auto"/>
              </w:rPr>
              <w:t>Increase in inventories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(60,343)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80"/>
              <w:spacing w:after="0"/>
              <w:rPr>
                <w:sz w:val="20"/>
                <w:szCs w:val="20"/>
                <w:color w:val="auto"/>
              </w:rPr>
            </w:pPr>
            <w:r>
              <w:rPr>
                <w:rFonts w:ascii="Arial" w:cs="Arial" w:eastAsia="Arial" w:hAnsi="Arial"/>
                <w:sz w:val="18"/>
                <w:szCs w:val="18"/>
                <w:color w:val="auto"/>
              </w:rPr>
              <w:t>Increase in deferred 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28,622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income taxes payable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160,159</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122,763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Investments in certain businesses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Proceeds from sale of marketable equity securities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(108,074)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(45,720)</w:t>
            </w: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repayment of commercial paper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debt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overdraft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Excess tax benefit on stock options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(55,452)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34,104</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90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215,861</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119,400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249,965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jc w:val="right"/>
              <w:ind w:right="2052"/>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0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Results of operations at the Kaplan education division, when examined on quarterly basis, reflect the volatility of Kaplan stock compensation charges. All adjustments reflected in the interim financial statements are of a normal recurring nature.</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Washington Post Company (the “Company”) generally reports on a 13 week fiscal quarter ending on the Sunday nearest the calendar quarter-end. With the exception of the newspaper publishing operations, subsidiaries of the Company report on a calendar-quarter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2005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 Acquisitions.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the first quarter of 2006, Kaplan acquired two businesses in their professional and higher education divisions; these acquisitions totaled $7.4 million. Most of the purchase price for these acquisitions has been allocated to goodwill and other intangibles on a preliminary basis.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the first quarter of 2005, the Company acquired Slate, an online magazine, and Kaplan acquired two businesses in their higher education division; these acquisitions totaled $26.5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Note 2: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2, 2006 and January 1, 2006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April 2,</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January 1,</w:t>
            </w:r>
          </w:p>
        </w:tc>
      </w:tr>
      <w:tr>
        <w:trPr>
          <w:trHeight w:val="175"/>
        </w:trPr>
        <w:tc>
          <w:tcPr>
            <w:tcW w:w="7860" w:type="dxa"/>
            <w:vAlign w:val="bottom"/>
          </w:tcPr>
          <w:p>
            <w:pPr>
              <w:spacing w:after="0"/>
              <w:rPr>
                <w:sz w:val="15"/>
                <w:szCs w:val="15"/>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$277,084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$234,196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Gross unrealized gains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105,823</w:t>
            </w:r>
          </w:p>
        </w:tc>
        <w:tc>
          <w:tcPr>
            <w:tcW w:w="680" w:type="dxa"/>
            <w:vAlign w:val="bottom"/>
          </w:tcPr>
          <w:p>
            <w:pPr>
              <w:jc w:val="right"/>
              <w:spacing w:after="0"/>
              <w:rPr>
                <w:sz w:val="20"/>
                <w:szCs w:val="20"/>
                <w:color w:val="auto"/>
              </w:rPr>
            </w:pPr>
            <w:r>
              <w:rPr>
                <w:rFonts w:ascii="Arial" w:cs="Arial" w:eastAsia="Arial" w:hAnsi="Arial"/>
                <w:sz w:val="18"/>
                <w:szCs w:val="18"/>
                <w:color w:val="auto"/>
              </w:rPr>
              <w:t>95,725</w:t>
            </w:r>
          </w:p>
        </w:tc>
      </w:tr>
      <w:tr>
        <w:trPr>
          <w:trHeight w:val="27"/>
        </w:trPr>
        <w:tc>
          <w:tcPr>
            <w:tcW w:w="7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382,907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329,921</w:t>
            </w:r>
          </w:p>
        </w:tc>
      </w:tr>
      <w:tr>
        <w:trPr>
          <w:trHeight w:val="20"/>
        </w:trPr>
        <w:tc>
          <w:tcPr>
            <w:tcW w:w="7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There were no sales of marketable equity securities in the first quarter of 2006. During the first quarter of 2005, the Company sold marketable equity securities for a pre-tax gain of $3.3 million. The Company made $42.9 million in investments in marketable equity securities during the first quarter of 2006.</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At April 2, 2006 and January 1, 2006, the carrying value of the Company’s cost method investments was $11.1 million and $11.9 million, respectively. The Company recorded charges of $0.8 million during the first quarter of 2006, to write-down certain of its investments to estimated fair value.</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April 2, 2006 and January 1, 2006, the Company had commercial paper investments of $114.3 million and $59.2 million, respectively, that are classified as “cash and cash equivalents” on the Company’s consolidated balance sheet.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 3: Borrowings.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April 2,</w:t>
            </w:r>
          </w:p>
        </w:tc>
        <w:tc>
          <w:tcPr>
            <w:tcW w:w="2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5"/>
        </w:trPr>
        <w:tc>
          <w:tcPr>
            <w:tcW w:w="7880" w:type="dxa"/>
            <w:vAlign w:val="bottom"/>
          </w:tcPr>
          <w:p>
            <w:pPr>
              <w:spacing w:after="0"/>
              <w:rPr>
                <w:sz w:val="15"/>
                <w:szCs w:val="15"/>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$399.3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4.0 percent notes due 2006 (£8.4 million)</w:t>
            </w: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indebtedness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rPr>
              <w:t>423.6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401.8</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2003, notes of £16.7 million were issued to current employees of The Financial Training Company (FTC) who were former FTC shareholders in connection with the March 2003 acquisition by Kaplan. In 2004, 50% of the balance on the notes was paid. The remaining balance outstanding of £8.4 million is due for repayment in August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April 2, 2006 and January 1, 2006 is at interest rates of 6% to 7% and matures from 2006 to 2009.</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2006 and 2005, the Company had average borrowings outstanding of approximately $426.0 million and $457.8 million, respectively, at average annual interest rates of approximately 5.4 percent and 5.2 percent, respectively. During the first quarter of 2006 and 2005, the Company incurred net interest expense of $4.7 million and $5.9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Note 4: Business Segments.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2006 and 2005 asset information is as of April 2, 2006 and January 1, 2006,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Television</w:t>
            </w: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Magazine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Cable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2006</w:t>
            </w:r>
          </w:p>
        </w:tc>
        <w:tc>
          <w:tcPr>
            <w:tcW w:w="780" w:type="dxa"/>
            <w:vAlign w:val="bottom"/>
          </w:tcPr>
          <w:p>
            <w:pPr>
              <w:spacing w:after="0"/>
              <w:rPr>
                <w:sz w:val="14"/>
                <w:szCs w:val="1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Publishing</w:t>
            </w:r>
          </w:p>
        </w:tc>
        <w:tc>
          <w:tcPr>
            <w:tcW w:w="6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Broadcasting</w:t>
            </w: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Publishing</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87"/>
              </w:rPr>
              <w:t>Television</w:t>
            </w:r>
          </w:p>
        </w:tc>
        <w:tc>
          <w:tcPr>
            <w:tcW w:w="80" w:type="dxa"/>
            <w:vAlign w:val="bottom"/>
          </w:tcPr>
          <w:p>
            <w:pPr>
              <w:spacing w:after="0"/>
              <w:rPr>
                <w:sz w:val="14"/>
                <w:szCs w:val="1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1"/>
              </w:rPr>
              <w:t>Education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29"/>
        </w:trPr>
        <w:tc>
          <w:tcPr>
            <w:tcW w:w="38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$243,472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74,785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135,175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408,934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948,280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37,550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25,427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52,645</w:t>
            </w: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(9,032)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137,759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12,033</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(1,907)</w:t>
            </w:r>
          </w:p>
        </w:tc>
        <w:tc>
          <w:tcPr>
            <w:tcW w:w="1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540" w:type="dxa"/>
            <w:vAlign w:val="bottom"/>
            <w:gridSpan w:val="5"/>
          </w:tcPr>
          <w:p>
            <w:pPr>
              <w:jc w:val="right"/>
              <w:ind w:right="80"/>
              <w:spacing w:after="0"/>
              <w:rPr>
                <w:sz w:val="20"/>
                <w:szCs w:val="20"/>
                <w:color w:val="auto"/>
              </w:rPr>
            </w:pPr>
            <w:r>
              <w:rPr>
                <w:rFonts w:ascii="Arial" w:cs="Arial" w:eastAsia="Arial" w:hAnsi="Arial"/>
                <w:sz w:val="18"/>
                <w:szCs w:val="18"/>
                <w:color w:val="auto"/>
              </w:rPr>
              <w:t>$ 703,113</w:t>
            </w:r>
          </w:p>
        </w:tc>
        <w:tc>
          <w:tcPr>
            <w:tcW w:w="14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418,453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w w:val="85"/>
              </w:rPr>
              <w:t>$588,335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ind w:left="80"/>
              <w:spacing w:after="0"/>
              <w:rPr>
                <w:sz w:val="20"/>
                <w:szCs w:val="20"/>
                <w:color w:val="auto"/>
              </w:rPr>
            </w:pPr>
            <w:r>
              <w:rPr>
                <w:rFonts w:ascii="Arial" w:cs="Arial" w:eastAsia="Arial" w:hAnsi="Arial"/>
                <w:sz w:val="18"/>
                <w:szCs w:val="18"/>
                <w:color w:val="auto"/>
                <w:w w:val="84"/>
              </w:rPr>
              <w:t>$1,115,794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1,281,896</w:t>
            </w:r>
          </w:p>
        </w:tc>
        <w:tc>
          <w:tcPr>
            <w:tcW w:w="22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w w:val="87"/>
              </w:rPr>
              <w:t>$122,748</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$4,230,339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4,679,779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Newspaper</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Television</w:t>
            </w:r>
          </w:p>
        </w:tc>
        <w:tc>
          <w:tcPr>
            <w:tcW w:w="60" w:type="dxa"/>
            <w:vAlign w:val="bottom"/>
          </w:tcPr>
          <w:p>
            <w:pPr>
              <w:spacing w:after="0" w:line="20" w:lineRule="exact"/>
              <w:rPr>
                <w:sz w:val="1"/>
                <w:szCs w:val="1"/>
                <w:color w:val="auto"/>
              </w:rPr>
            </w:pPr>
          </w:p>
        </w:tc>
        <w:tc>
          <w:tcPr>
            <w:tcW w:w="8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5"/>
              </w:rPr>
              <w:t>Magazine</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Cable</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Publishing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Broadcasting</w:t>
            </w:r>
          </w:p>
        </w:tc>
        <w:tc>
          <w:tcPr>
            <w:tcW w:w="60" w:type="dxa"/>
            <w:vAlign w:val="bottom"/>
          </w:tcPr>
          <w:p>
            <w:pPr>
              <w:spacing w:after="0"/>
              <w:rPr>
                <w:sz w:val="14"/>
                <w:szCs w:val="14"/>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Television</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Education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Office</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29"/>
        </w:trPr>
        <w:tc>
          <w:tcPr>
            <w:tcW w:w="38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$233,028</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79,292</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69,851</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126,376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325,383</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833,930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tcPr>
          <w:p>
            <w:pPr>
              <w:ind w:left="86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31,396</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32,769</w:t>
            </w:r>
          </w:p>
        </w:tc>
        <w:tc>
          <w:tcPr>
            <w:tcW w:w="1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(5,169)</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23,401</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32,632</w:t>
            </w:r>
          </w:p>
        </w:tc>
        <w:tc>
          <w:tcPr>
            <w:tcW w:w="220" w:type="dxa"/>
            <w:vAlign w:val="bottom"/>
          </w:tcPr>
          <w:p>
            <w:pPr>
              <w:spacing w:after="0"/>
              <w:rPr>
                <w:sz w:val="18"/>
                <w:szCs w:val="18"/>
                <w:color w:val="auto"/>
              </w:rPr>
            </w:pPr>
          </w:p>
        </w:tc>
        <w:tc>
          <w:tcPr>
            <w:tcW w:w="840" w:type="dxa"/>
            <w:vAlign w:val="bottom"/>
            <w:gridSpan w:val="4"/>
          </w:tcPr>
          <w:p>
            <w:pPr>
              <w:ind w:left="60"/>
              <w:spacing w:after="0"/>
              <w:rPr>
                <w:sz w:val="20"/>
                <w:szCs w:val="20"/>
                <w:color w:val="auto"/>
              </w:rPr>
            </w:pPr>
            <w:r>
              <w:rPr>
                <w:rFonts w:ascii="Arial" w:cs="Arial" w:eastAsia="Arial" w:hAnsi="Arial"/>
                <w:sz w:val="18"/>
                <w:szCs w:val="18"/>
                <w:color w:val="auto"/>
              </w:rPr>
              <w:t>$ (7,040)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8,789</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25,192</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960" w:type="dxa"/>
            <w:vAlign w:val="bottom"/>
            <w:gridSpan w:val="3"/>
          </w:tcPr>
          <w:p>
            <w:pPr>
              <w:ind w:left="86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119</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204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9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(321)</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9,585</w:t>
            </w: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680" w:type="dxa"/>
            <w:vAlign w:val="bottom"/>
            <w:gridSpan w:val="6"/>
          </w:tcPr>
          <w:p>
            <w:pPr>
              <w:jc w:val="right"/>
              <w:ind w:right="140"/>
              <w:spacing w:after="0"/>
              <w:rPr>
                <w:sz w:val="20"/>
                <w:szCs w:val="20"/>
                <w:color w:val="auto"/>
              </w:rPr>
            </w:pPr>
            <w:r>
              <w:rPr>
                <w:rFonts w:ascii="Arial" w:cs="Arial" w:eastAsia="Arial" w:hAnsi="Arial"/>
                <w:sz w:val="18"/>
                <w:szCs w:val="18"/>
                <w:color w:val="auto"/>
              </w:rPr>
              <w:t>$702,221</w:t>
            </w:r>
          </w:p>
        </w:tc>
        <w:tc>
          <w:tcPr>
            <w:tcW w:w="220" w:type="dxa"/>
            <w:vAlign w:val="bottom"/>
            <w:gridSpan w:val="3"/>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420,154</w:t>
            </w:r>
          </w:p>
        </w:tc>
        <w:tc>
          <w:tcPr>
            <w:tcW w:w="160" w:type="dxa"/>
            <w:vAlign w:val="bottom"/>
          </w:tcPr>
          <w:p>
            <w:pPr>
              <w:spacing w:after="0"/>
              <w:rPr>
                <w:sz w:val="18"/>
                <w:szCs w:val="18"/>
                <w:color w:val="auto"/>
              </w:rPr>
            </w:pPr>
          </w:p>
        </w:tc>
        <w:tc>
          <w:tcPr>
            <w:tcW w:w="880" w:type="dxa"/>
            <w:vAlign w:val="bottom"/>
            <w:gridSpan w:val="5"/>
          </w:tcPr>
          <w:p>
            <w:pPr>
              <w:ind w:left="60"/>
              <w:spacing w:after="0"/>
              <w:rPr>
                <w:sz w:val="20"/>
                <w:szCs w:val="20"/>
                <w:color w:val="auto"/>
              </w:rPr>
            </w:pPr>
            <w:r>
              <w:rPr>
                <w:rFonts w:ascii="Arial" w:cs="Arial" w:eastAsia="Arial" w:hAnsi="Arial"/>
                <w:sz w:val="18"/>
                <w:szCs w:val="18"/>
                <w:color w:val="auto"/>
              </w:rPr>
              <w:t>$594,937</w:t>
            </w:r>
          </w:p>
        </w:tc>
        <w:tc>
          <w:tcPr>
            <w:tcW w:w="1080" w:type="dxa"/>
            <w:vAlign w:val="bottom"/>
            <w:gridSpan w:val="6"/>
          </w:tcPr>
          <w:p>
            <w:pPr>
              <w:jc w:val="right"/>
              <w:ind w:right="140"/>
              <w:spacing w:after="0"/>
              <w:rPr>
                <w:sz w:val="20"/>
                <w:szCs w:val="20"/>
                <w:color w:val="auto"/>
              </w:rPr>
            </w:pPr>
            <w:r>
              <w:rPr>
                <w:rFonts w:ascii="Arial" w:cs="Arial" w:eastAsia="Arial" w:hAnsi="Arial"/>
                <w:sz w:val="18"/>
                <w:szCs w:val="18"/>
                <w:color w:val="auto"/>
              </w:rPr>
              <w:t>$1,122,654</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1,257,952</w:t>
            </w:r>
          </w:p>
        </w:tc>
        <w:tc>
          <w:tcPr>
            <w:tcW w:w="2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8"/>
                <w:szCs w:val="18"/>
                <w:color w:val="auto"/>
                <w:w w:val="85"/>
              </w:rPr>
              <w:t>$ 90,159</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$4,188,077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4,584,773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vMerge w:val="restart"/>
          </w:tcPr>
          <w:p>
            <w:pPr>
              <w:ind w:left="1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Quarter Period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Higher</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Supplemental</w:t>
            </w:r>
          </w:p>
        </w:tc>
        <w:tc>
          <w:tcPr>
            <w:tcW w:w="2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Overhead</w:t>
            </w:r>
          </w:p>
        </w:tc>
        <w:tc>
          <w:tcPr>
            <w:tcW w:w="100" w:type="dxa"/>
            <w:vAlign w:val="bottom"/>
          </w:tcPr>
          <w:p>
            <w:pPr>
              <w:spacing w:after="0"/>
              <w:rPr>
                <w:sz w:val="12"/>
                <w:szCs w:val="12"/>
                <w:color w:val="auto"/>
              </w:rPr>
            </w:pPr>
          </w:p>
        </w:tc>
        <w:tc>
          <w:tcPr>
            <w:tcW w:w="70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2006</w:t>
            </w:r>
          </w:p>
        </w:tc>
        <w:tc>
          <w:tcPr>
            <w:tcW w:w="342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5"/>
              </w:rPr>
              <w:t>Education</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Education</w:t>
            </w:r>
          </w:p>
        </w:tc>
        <w:tc>
          <w:tcPr>
            <w:tcW w:w="0" w:type="dxa"/>
            <w:vAlign w:val="bottom"/>
          </w:tcPr>
          <w:p>
            <w:pPr>
              <w:spacing w:after="0"/>
              <w:rPr>
                <w:sz w:val="1"/>
                <w:szCs w:val="1"/>
                <w:color w:val="auto"/>
              </w:rPr>
            </w:pPr>
          </w:p>
        </w:tc>
      </w:tr>
      <w:tr>
        <w:trPr>
          <w:trHeight w:val="129"/>
        </w:trPr>
        <w:tc>
          <w:tcPr>
            <w:tcW w:w="4360" w:type="dxa"/>
            <w:vAlign w:val="bottom"/>
            <w:gridSpan w:val="3"/>
            <w:vMerge w:val="continue"/>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215,505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32,991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32,553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(12,899)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572,181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31,673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Kaplan stock-based incentive compensation</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345"/>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2005</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168,919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28,288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587,997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23,998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Kaplan stock-based incentive compensation</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6,950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20" w:type="dxa"/>
            <w:vAlign w:val="bottom"/>
          </w:tcPr>
          <w:p>
            <w:pPr>
              <w:jc w:val="right"/>
              <w:ind w:right="18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online media publishing business (primarily washingtonpost.com and Slate).</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 magazine, Newsweek, which has one domestic and three international editions; the publication of Arthur Frommer’s Budget Travel; online operations (primarily newsweek.com and budgettravelonline.com) and the publication of business periodicals for the computer services industry and the Washington-area technology community.</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fixed facility colleges which offer Bachelor’s degrees, Associate’s degrees and diploma programs primarily in the fields of healthcare, business and information technology; and online post-secondary and career programs (various distance-learning businesses). For segment reporting purposes, the education division has two primary segments, supplemental education and higher education. Kaplan corporate overhead and “other” is also included; “other” includes Kaplan stock compensation expense and amortization of certain intangibles.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5: Goodwill and Other Intangible Assets.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mastheads, customer relationship intangibles and non-compete agreements, with amortization periods up to ten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other intangible assets as of April 2, 2006 and January 1, 2006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2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$1,435,851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21,009</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2,136,808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483,217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1,635,591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2005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$1,423,972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298,402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440"/>
              <w:spacing w:after="0"/>
              <w:rPr>
                <w:sz w:val="20"/>
                <w:szCs w:val="20"/>
                <w:color w:val="auto"/>
              </w:rPr>
            </w:pPr>
            <w:r>
              <w:rPr>
                <w:rFonts w:ascii="Arial" w:cs="Arial" w:eastAsia="Arial" w:hAnsi="Arial"/>
                <w:sz w:val="18"/>
                <w:szCs w:val="18"/>
                <w:color w:val="auto"/>
              </w:rPr>
              <w:t>Indefinite-lived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658,498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Amortized intangible assets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19,620</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2,124,904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481,828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1,643,076</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2, 2006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$ 80,651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203,165</w:t>
            </w:r>
          </w:p>
        </w:tc>
        <w:tc>
          <w:tcPr>
            <w:tcW w:w="940" w:type="dxa"/>
            <w:vAlign w:val="bottom"/>
            <w:gridSpan w:val="3"/>
          </w:tcPr>
          <w:p>
            <w:pPr>
              <w:jc w:val="center"/>
              <w:ind w:left="32"/>
              <w:spacing w:after="0"/>
              <w:rPr>
                <w:sz w:val="20"/>
                <w:szCs w:val="20"/>
                <w:color w:val="auto"/>
              </w:rPr>
            </w:pPr>
            <w:r>
              <w:rPr>
                <w:rFonts w:ascii="Arial" w:cs="Arial" w:eastAsia="Arial" w:hAnsi="Arial"/>
                <w:sz w:val="18"/>
                <w:szCs w:val="18"/>
                <w:color w:val="auto"/>
                <w:w w:val="88"/>
              </w:rPr>
              <w:t>$ 69,556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85,666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$686,532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1,125,570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 2006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$ 80,651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203,165</w:t>
            </w:r>
          </w:p>
        </w:tc>
        <w:tc>
          <w:tcPr>
            <w:tcW w:w="94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8"/>
              </w:rPr>
              <w:t>$ 69,556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85,666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$ 698,411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$486,330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Balance at April 2, 2006</w:t>
            </w:r>
          </w:p>
        </w:tc>
        <w:tc>
          <w:tcPr>
            <w:tcW w:w="18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8,362</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Magazine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2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Publishing</w:t>
            </w:r>
          </w:p>
        </w:tc>
        <w:tc>
          <w:tcPr>
            <w:tcW w:w="12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Television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14,428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Balance at April 2, 2006</w:t>
            </w: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13,528</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other intangible assets during the three months ended April 3, 2005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2"/>
              </w:rPr>
              <w:t>Newspaper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Television</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Magazine</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Cable</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Broadcasting</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6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$ 72,770</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203,165</w:t>
            </w:r>
          </w:p>
        </w:tc>
        <w:tc>
          <w:tcPr>
            <w:tcW w:w="7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$ 69,556</w:t>
            </w:r>
          </w:p>
        </w:tc>
        <w:tc>
          <w:tcPr>
            <w:tcW w:w="80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$85,666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$591,983</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$1,023,140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680" w:type="dxa"/>
            <w:vAlign w:val="bottom"/>
          </w:tcPr>
          <w:p>
            <w:pPr>
              <w:spacing w:after="0"/>
              <w:rPr>
                <w:sz w:val="18"/>
                <w:szCs w:val="18"/>
                <w:color w:val="auto"/>
              </w:rPr>
            </w:pPr>
          </w:p>
        </w:tc>
        <w:tc>
          <w:tcPr>
            <w:tcW w:w="6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2005</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$ 80,648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203,165</w:t>
            </w:r>
          </w:p>
        </w:tc>
        <w:tc>
          <w:tcPr>
            <w:tcW w:w="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$ 69,556</w:t>
            </w:r>
          </w:p>
        </w:tc>
        <w:tc>
          <w:tcPr>
            <w:tcW w:w="8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85,666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598,820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1,037,855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80" w:type="dxa"/>
            <w:vAlign w:val="bottom"/>
            <w:vMerge w:val="restart"/>
          </w:tcPr>
          <w:p>
            <w:pPr>
              <w:jc w:val="right"/>
              <w:ind w:right="232"/>
              <w:spacing w:after="0"/>
              <w:rPr>
                <w:sz w:val="20"/>
                <w:szCs w:val="20"/>
                <w:color w:val="auto"/>
              </w:rPr>
            </w:pPr>
            <w:r>
              <w:rPr>
                <w:rFonts w:ascii="Arial" w:cs="Arial" w:eastAsia="Arial" w:hAnsi="Arial"/>
                <w:sz w:val="18"/>
                <w:szCs w:val="18"/>
                <w:color w:val="auto"/>
              </w:rPr>
              <w:t>12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2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6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$486,330</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6,862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Balance at April 3, 2005</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486,330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6,862</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493,192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6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Television</w:t>
            </w:r>
          </w:p>
        </w:tc>
        <w:tc>
          <w:tcPr>
            <w:tcW w:w="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Magazine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Cable</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Broadcasting</w:t>
            </w:r>
          </w:p>
        </w:tc>
        <w:tc>
          <w:tcPr>
            <w:tcW w:w="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Publishing</w:t>
            </w:r>
          </w:p>
        </w:tc>
        <w:tc>
          <w:tcPr>
            <w:tcW w:w="32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Television</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Education</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2,474</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5,287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Foreign currency exchange rate changes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(1,285)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Balance at April 3, 2005</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7,676</w:t>
            </w:r>
          </w:p>
        </w:tc>
        <w:tc>
          <w:tcPr>
            <w:tcW w:w="38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2,270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4,113</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6: Stock Options and Stock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SFAS 123R.</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first quarter of 2006, the Company adopted Statement of Financial Accounting Standards No. 123R (SFAS 123R), “Share–Based Payment.” SFAS 123R 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This change in accounting results in the acceleration of expense recognition for Kaplan equity awards. As a result, in the first quarter of 2006, the Company reported a $5.1 million after-tax charge for the cumulative effect of change in accounting for Kaplan equity awards ($8.2 million in pre-tax Kaplan stock compensation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employee stock option plan reserves shares of the Company’s Class B common stock for options to be granted under the plan. The purchase price of the shares covered by an option cannot be less than the fair value on the granting date. Options generally vest over 4 years and have a maximum term of 10 years. At April 2, 2006, there were 407,575 shares reserved for issuance under the stock option plan, of which 112,575 shares were subject to options outstanding, and 295,000 shares were available for future grants.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options outstanding for the quarter ended April 2,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106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Shares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(in years)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389.29</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2,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112,575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573.58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23,748*</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April 2, 2006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100,200</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544.38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810.70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Nonvested options at April 2, 2006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8.5</w:t>
            </w:r>
          </w:p>
        </w:tc>
        <w:tc>
          <w:tcPr>
            <w:tcW w:w="580" w:type="dxa"/>
            <w:vAlign w:val="bottom"/>
            <w:gridSpan w:val="2"/>
            <w:vMerge w:val="restart"/>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line="20" w:lineRule="exact"/>
              <w:rPr>
                <w:sz w:val="1"/>
                <w:szCs w:val="1"/>
                <w:color w:val="auto"/>
              </w:rPr>
            </w:pPr>
          </w:p>
        </w:tc>
      </w:tr>
      <w:tr>
        <w:trPr>
          <w:trHeight w:val="209"/>
        </w:trPr>
        <w:tc>
          <w:tcPr>
            <w:tcW w:w="6760" w:type="dxa"/>
            <w:vAlign w:val="bottom"/>
            <w:gridSpan w:val="2"/>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12,375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810.70</w:t>
            </w:r>
          </w:p>
        </w:tc>
        <w:tc>
          <w:tcPr>
            <w:tcW w:w="15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8"/>
        <w:spacing w:after="0" w:line="268" w:lineRule="auto"/>
        <w:tabs>
          <w:tab w:leader="none" w:pos="1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market value of the underlying stock exceeds the exercise price of the option. The market value of the Company’s stock was $776.75 at April 2,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recorded expense of $0.3 million during the first quarter of 2006 and 2005, with a related income tax benefit of $0.1 million in each quarter, related to this plan. As of April 2, 2006, total unrecognized stock-based compensation expense related to stock options was $2.5 million, which is expected to be recognized over a weighted-average period of approximately 1.7 years. The total intrinsic value of options exercised during the first quarter of 2006 was $0.3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outstanding at April 2,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Weighted Average</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Range of</w:t>
            </w:r>
          </w:p>
        </w:tc>
        <w:tc>
          <w:tcPr>
            <w:tcW w:w="1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32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3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32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Exercisable at</w:t>
            </w:r>
          </w:p>
        </w:tc>
        <w:tc>
          <w:tcPr>
            <w:tcW w:w="66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0"/>
              </w:rPr>
              <w:t>Prices</w:t>
            </w:r>
          </w:p>
        </w:tc>
        <w:tc>
          <w:tcPr>
            <w:tcW w:w="13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April 2, 2006</w:t>
            </w:r>
          </w:p>
        </w:tc>
        <w:tc>
          <w:tcPr>
            <w:tcW w:w="13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1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April 2, 2006</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343.94</w:t>
            </w:r>
          </w:p>
        </w:tc>
        <w:tc>
          <w:tcPr>
            <w:tcW w:w="2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472-480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11,875</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473.57</w:t>
            </w:r>
          </w:p>
        </w:tc>
        <w:tc>
          <w:tcPr>
            <w:tcW w:w="2800" w:type="dxa"/>
            <w:vAlign w:val="bottom"/>
            <w:gridSpan w:val="3"/>
          </w:tcPr>
          <w:p>
            <w:pPr>
              <w:jc w:val="right"/>
              <w:ind w:right="660"/>
              <w:spacing w:after="0"/>
              <w:rPr>
                <w:sz w:val="20"/>
                <w:szCs w:val="20"/>
                <w:color w:val="auto"/>
              </w:rPr>
            </w:pPr>
            <w:r>
              <w:rPr>
                <w:rFonts w:ascii="Arial" w:cs="Arial" w:eastAsia="Arial" w:hAnsi="Arial"/>
                <w:sz w:val="18"/>
                <w:szCs w:val="18"/>
                <w:color w:val="auto"/>
              </w:rPr>
              <w:t>11,875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473.57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503-596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74,900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531.42</w:t>
            </w:r>
          </w:p>
        </w:tc>
        <w:tc>
          <w:tcPr>
            <w:tcW w:w="2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74,900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2800" w:type="dxa"/>
            <w:vAlign w:val="bottom"/>
            <w:gridSpan w:val="3"/>
          </w:tcPr>
          <w:p>
            <w:pPr>
              <w:jc w:val="right"/>
              <w:ind w:right="660"/>
              <w:spacing w:after="0"/>
              <w:rPr>
                <w:sz w:val="20"/>
                <w:szCs w:val="20"/>
                <w:color w:val="auto"/>
              </w:rPr>
            </w:pPr>
            <w:r>
              <w:rPr>
                <w:rFonts w:ascii="Arial" w:cs="Arial" w:eastAsia="Arial" w:hAnsi="Arial"/>
                <w:sz w:val="18"/>
                <w:szCs w:val="18"/>
                <w:color w:val="auto"/>
              </w:rPr>
              <w:t>250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729-763</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739.77</w:t>
            </w:r>
          </w:p>
        </w:tc>
        <w:tc>
          <w:tcPr>
            <w:tcW w:w="2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7,125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816.05</w:t>
            </w:r>
          </w:p>
        </w:tc>
        <w:tc>
          <w:tcPr>
            <w:tcW w:w="2800" w:type="dxa"/>
            <w:vAlign w:val="bottom"/>
            <w:gridSpan w:val="3"/>
          </w:tcPr>
          <w:p>
            <w:pPr>
              <w:jc w:val="right"/>
              <w:ind w:right="660"/>
              <w:spacing w:after="0"/>
              <w:rPr>
                <w:sz w:val="20"/>
                <w:szCs w:val="20"/>
                <w:color w:val="auto"/>
              </w:rPr>
            </w:pPr>
            <w:r>
              <w:rPr>
                <w:rFonts w:ascii="Arial" w:cs="Arial" w:eastAsia="Arial" w:hAnsi="Arial"/>
                <w:sz w:val="18"/>
                <w:szCs w:val="18"/>
                <w:color w:val="auto"/>
              </w:rPr>
              <w:t>2,250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816.05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28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953.50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All options were granted at an exercise price equal to or greater than the fair market value of the Company’s common stock at the date of grant. No stock option awards were granted during the first quarter of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Equity Awards.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1997 and initially reserved 15%, or 150,000 shares, of Kaplan’s common stock for awards to be granted under the plan. Under the provisions of this plan, options are issued with an exercise price equal to the estimated fair value of Kaplan’s common stock and options vest ratably over the number of years specified (generally 4 to 5 years) at the time of the grant. Upon exercise, an option holder receives cash equal to the difference between the exercise price and the then fair value. The fair value of Kaplan’s common stock is determined by the Company’s compensation committee of the Board of Directors. In January 2006, the committee set the fair value price at $1,833 per share. Option holders have a 30-day window in which they may exercise at this price, after which time the compensation committee has the right to determine a new price in the event of an exercise.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Changes in Kaplan stock options outstanding for the quarter ended April 2, 2006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(in years)</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62,229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944.63</w:t>
            </w:r>
          </w:p>
        </w:tc>
        <w:tc>
          <w:tcPr>
            <w:tcW w:w="4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12,239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1,833.00</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(15,298)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198.74</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Forfeited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2,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59,170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1,321.22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32,895*</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April 2, 2006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28,881</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914.29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Nonvested options at January 1, 2006</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23,298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1,623.12</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Nonvested options at April 2, 2006</w:t>
            </w: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rPr>
              <w:t>5.3</w:t>
            </w:r>
          </w:p>
        </w:tc>
        <w:tc>
          <w:tcPr>
            <w:tcW w:w="580" w:type="dxa"/>
            <w:vAlign w:val="bottom"/>
            <w:gridSpan w:val="2"/>
            <w:vMerge w:val="restart"/>
          </w:tcPr>
          <w:p>
            <w:pPr>
              <w:ind w:left="48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30,289</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1,709.24</w:t>
            </w:r>
          </w:p>
        </w:tc>
        <w:tc>
          <w:tcPr>
            <w:tcW w:w="15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44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intrinsic value of a stock option is the amount by which the estimated fair value of the underlying stock exceeds the exercise price of the option. The estimated fair value of the Company’s stock was $1,833 at April 2,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December 2005, the compensation committee awarded to a senior manager Kaplan shares or share equivalents equal in value to $4.8 million, with the number of shares of share equivalents determined by the January 2006 valuation. In 2006, based on the $1,833 per share value, 2,619 shares or share equivalents will be issued. The expense of this award has been reflected in the 2005 results of operations.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Excluding Kaplan stock compensation expense of $8.2 million recorded as a result of the change in accounting under SFAS 123R, Kaplan recorded stock compensation expense of $1.9 million in the first quarter of 2006, compared to $7.0 million in the first quarter of 2005. At April 2, 2006, the Company’s accrual balance related to Kaplan stock-based compensation totaled $48.3 million.</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April 2, 2006, total unrecognized stock-based compensation expense related to stock options was $13.9 million, which is expected to be recognized over a weighted-average period of approximately 3.25 years. The total intrinsic value of options exercised during the first quarter of 2006 was $25.0 million. A tax benefit from these stock option exercises of $9.6 million was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outstanding at April 2, 2006 is as follows:</w:t>
      </w:r>
    </w:p>
    <w:p>
      <w:pPr>
        <w:spacing w:after="0" w:line="195"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2080" w:type="dxa"/>
            <w:vAlign w:val="bottom"/>
            <w:gridSpan w:val="2"/>
            <w:vMerge w:val="restart"/>
          </w:tcPr>
          <w:p>
            <w:pPr>
              <w:jc w:val="center"/>
              <w:ind w:right="1560"/>
              <w:spacing w:after="0"/>
              <w:rPr>
                <w:sz w:val="20"/>
                <w:szCs w:val="20"/>
                <w:color w:val="auto"/>
              </w:rPr>
            </w:pPr>
            <w:r>
              <w:rPr>
                <w:rFonts w:ascii="Arial" w:cs="Arial" w:eastAsia="Arial" w:hAnsi="Arial"/>
                <w:sz w:val="14"/>
                <w:szCs w:val="14"/>
                <w:b w:val="1"/>
                <w:bCs w:val="1"/>
                <w:color w:val="auto"/>
                <w:w w:val="86"/>
              </w:rPr>
              <w:t>Range of</w:t>
            </w: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2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w w:val="85"/>
              </w:rPr>
              <w:t>Weighted Average</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gridSpan w:val="2"/>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1540" w:type="dxa"/>
            <w:vAlign w:val="bottom"/>
          </w:tcPr>
          <w:p>
            <w:pPr>
              <w:spacing w:after="0"/>
              <w:rPr>
                <w:sz w:val="11"/>
                <w:szCs w:val="11"/>
                <w:color w:val="auto"/>
              </w:rPr>
            </w:pPr>
          </w:p>
        </w:tc>
        <w:tc>
          <w:tcPr>
            <w:tcW w:w="2620" w:type="dxa"/>
            <w:vAlign w:val="bottom"/>
            <w:gridSpan w:val="2"/>
          </w:tcPr>
          <w:p>
            <w:pPr>
              <w:jc w:val="center"/>
              <w:ind w:right="1560"/>
              <w:spacing w:after="0" w:line="135" w:lineRule="exact"/>
              <w:rPr>
                <w:sz w:val="20"/>
                <w:szCs w:val="20"/>
                <w:color w:val="auto"/>
              </w:rPr>
            </w:pPr>
            <w:r>
              <w:rPr>
                <w:rFonts w:ascii="Arial" w:cs="Arial" w:eastAsia="Arial" w:hAnsi="Arial"/>
                <w:sz w:val="14"/>
                <w:szCs w:val="14"/>
                <w:b w:val="1"/>
                <w:bCs w:val="1"/>
                <w:color w:val="auto"/>
                <w:w w:val="86"/>
              </w:rPr>
              <w:t>Remaining</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jc w:val="center"/>
              <w:ind w:right="1560"/>
              <w:spacing w:after="0" w:line="149"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540" w:type="dxa"/>
            <w:vAlign w:val="bottom"/>
          </w:tcPr>
          <w:p>
            <w:pPr>
              <w:spacing w:after="0"/>
              <w:rPr>
                <w:sz w:val="12"/>
                <w:szCs w:val="12"/>
                <w:color w:val="auto"/>
              </w:rPr>
            </w:pPr>
          </w:p>
        </w:tc>
        <w:tc>
          <w:tcPr>
            <w:tcW w:w="2620" w:type="dxa"/>
            <w:vAlign w:val="bottom"/>
            <w:gridSpan w:val="2"/>
          </w:tcPr>
          <w:p>
            <w:pPr>
              <w:jc w:val="center"/>
              <w:ind w:right="1560"/>
              <w:spacing w:after="0" w:line="149" w:lineRule="exact"/>
              <w:rPr>
                <w:sz w:val="20"/>
                <w:szCs w:val="20"/>
                <w:color w:val="auto"/>
              </w:rPr>
            </w:pPr>
            <w:r>
              <w:rPr>
                <w:rFonts w:ascii="Arial" w:cs="Arial" w:eastAsia="Arial" w:hAnsi="Arial"/>
                <w:sz w:val="14"/>
                <w:szCs w:val="14"/>
                <w:b w:val="1"/>
                <w:bCs w:val="1"/>
                <w:color w:val="auto"/>
                <w:w w:val="91"/>
              </w:rPr>
              <w:t>Contractual Life</w:t>
            </w:r>
          </w:p>
        </w:tc>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Number Exercisable at</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Prices</w:t>
            </w:r>
          </w:p>
        </w:tc>
        <w:tc>
          <w:tcPr>
            <w:tcW w:w="15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April 2, 2006</w:t>
            </w:r>
          </w:p>
        </w:tc>
        <w:tc>
          <w:tcPr>
            <w:tcW w:w="15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560" w:type="dxa"/>
            <w:vAlign w:val="bottom"/>
          </w:tcPr>
          <w:p>
            <w:pPr>
              <w:spacing w:after="0"/>
              <w:rPr>
                <w:sz w:val="14"/>
                <w:szCs w:val="14"/>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April 2, 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$190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4160" w:type="dxa"/>
            <w:vAlign w:val="bottom"/>
            <w:gridSpan w:val="3"/>
            <w:shd w:val="clear" w:color="auto" w:fill="CCEEFF"/>
          </w:tcPr>
          <w:p>
            <w:pPr>
              <w:jc w:val="right"/>
              <w:ind w:right="1560"/>
              <w:spacing w:after="0"/>
              <w:rPr>
                <w:sz w:val="20"/>
                <w:szCs w:val="20"/>
                <w:color w:val="auto"/>
              </w:rPr>
            </w:pPr>
            <w:r>
              <w:rPr>
                <w:rFonts w:ascii="Arial" w:cs="Arial" w:eastAsia="Arial" w:hAnsi="Arial"/>
                <w:sz w:val="18"/>
                <w:szCs w:val="18"/>
                <w:color w:val="auto"/>
              </w:rPr>
              <w:t>1.75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right"/>
              <w:ind w:right="1560"/>
              <w:spacing w:after="0"/>
              <w:rPr>
                <w:sz w:val="20"/>
                <w:szCs w:val="20"/>
                <w:color w:val="auto"/>
              </w:rPr>
            </w:pPr>
            <w:r>
              <w:rPr>
                <w:rFonts w:ascii="Arial" w:cs="Arial" w:eastAsia="Arial" w:hAnsi="Arial"/>
                <w:sz w:val="18"/>
                <w:szCs w:val="18"/>
                <w:color w:val="auto"/>
              </w:rPr>
              <w:t>375</w:t>
            </w: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4160" w:type="dxa"/>
            <w:vAlign w:val="bottom"/>
            <w:gridSpan w:val="3"/>
          </w:tcPr>
          <w:p>
            <w:pPr>
              <w:jc w:val="right"/>
              <w:ind w:right="1560"/>
              <w:spacing w:after="0"/>
              <w:rPr>
                <w:sz w:val="20"/>
                <w:szCs w:val="20"/>
                <w:color w:val="auto"/>
              </w:rPr>
            </w:pPr>
            <w:r>
              <w:rPr>
                <w:rFonts w:ascii="Arial" w:cs="Arial" w:eastAsia="Arial" w:hAnsi="Arial"/>
                <w:sz w:val="18"/>
                <w:szCs w:val="18"/>
                <w:color w:val="auto"/>
              </w:rPr>
              <w:t>4.25</w:t>
            </w:r>
          </w:p>
        </w:tc>
        <w:tc>
          <w:tcPr>
            <w:tcW w:w="132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526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4160" w:type="dxa"/>
            <w:vAlign w:val="bottom"/>
            <w:gridSpan w:val="3"/>
            <w:shd w:val="clear" w:color="auto" w:fill="CCEEFF"/>
          </w:tcPr>
          <w:p>
            <w:pPr>
              <w:jc w:val="right"/>
              <w:ind w:right="1560"/>
              <w:spacing w:after="0"/>
              <w:rPr>
                <w:sz w:val="20"/>
                <w:szCs w:val="20"/>
                <w:color w:val="auto"/>
              </w:rPr>
            </w:pPr>
            <w:r>
              <w:rPr>
                <w:rFonts w:ascii="Arial" w:cs="Arial" w:eastAsia="Arial" w:hAnsi="Arial"/>
                <w:sz w:val="18"/>
                <w:szCs w:val="18"/>
                <w:color w:val="auto"/>
              </w:rPr>
              <w:t>5.25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right"/>
              <w:ind w:right="1560"/>
              <w:spacing w:after="0"/>
              <w:rPr>
                <w:sz w:val="20"/>
                <w:szCs w:val="20"/>
                <w:color w:val="auto"/>
              </w:rPr>
            </w:pPr>
            <w:r>
              <w:rPr>
                <w:rFonts w:ascii="Arial" w:cs="Arial" w:eastAsia="Arial" w:hAnsi="Arial"/>
                <w:sz w:val="18"/>
                <w:szCs w:val="18"/>
                <w:color w:val="auto"/>
              </w:rPr>
              <w:t>652</w:t>
            </w: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4160" w:type="dxa"/>
            <w:vAlign w:val="bottom"/>
            <w:gridSpan w:val="3"/>
          </w:tcPr>
          <w:p>
            <w:pPr>
              <w:jc w:val="right"/>
              <w:ind w:right="1560"/>
              <w:spacing w:after="0"/>
              <w:rPr>
                <w:sz w:val="20"/>
                <w:szCs w:val="20"/>
                <w:color w:val="auto"/>
              </w:rPr>
            </w:pPr>
            <w:r>
              <w:rPr>
                <w:rFonts w:ascii="Arial" w:cs="Arial" w:eastAsia="Arial" w:hAnsi="Arial"/>
                <w:sz w:val="18"/>
                <w:szCs w:val="18"/>
                <w:color w:val="auto"/>
              </w:rPr>
              <w:t>5.75</w:t>
            </w:r>
          </w:p>
        </w:tc>
        <w:tc>
          <w:tcPr>
            <w:tcW w:w="132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861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160" w:type="dxa"/>
            <w:vAlign w:val="bottom"/>
            <w:gridSpan w:val="3"/>
            <w:shd w:val="clear" w:color="auto" w:fill="CCEEFF"/>
          </w:tcPr>
          <w:p>
            <w:pPr>
              <w:jc w:val="right"/>
              <w:ind w:right="1560"/>
              <w:spacing w:after="0"/>
              <w:rPr>
                <w:sz w:val="20"/>
                <w:szCs w:val="20"/>
                <w:color w:val="auto"/>
              </w:rPr>
            </w:pPr>
            <w:r>
              <w:rPr>
                <w:rFonts w:ascii="Arial" w:cs="Arial" w:eastAsia="Arial" w:hAnsi="Arial"/>
                <w:sz w:val="18"/>
                <w:szCs w:val="18"/>
                <w:color w:val="auto"/>
              </w:rPr>
              <w:t>5.75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right"/>
              <w:ind w:right="1560"/>
              <w:spacing w:after="0"/>
              <w:rPr>
                <w:sz w:val="20"/>
                <w:szCs w:val="20"/>
                <w:color w:val="auto"/>
              </w:rPr>
            </w:pPr>
            <w:r>
              <w:rPr>
                <w:rFonts w:ascii="Arial" w:cs="Arial" w:eastAsia="Arial" w:hAnsi="Arial"/>
                <w:sz w:val="18"/>
                <w:szCs w:val="18"/>
                <w:color w:val="auto"/>
              </w:rPr>
              <w:t>1,625</w:t>
            </w:r>
          </w:p>
        </w:tc>
        <w:tc>
          <w:tcPr>
            <w:tcW w:w="880" w:type="dxa"/>
            <w:vAlign w:val="bottom"/>
          </w:tcPr>
          <w:p>
            <w:pPr>
              <w:jc w:val="right"/>
              <w:spacing w:after="0"/>
              <w:rPr>
                <w:sz w:val="20"/>
                <w:szCs w:val="20"/>
                <w:color w:val="auto"/>
              </w:rPr>
            </w:pPr>
            <w:r>
              <w:rPr>
                <w:rFonts w:ascii="Arial" w:cs="Arial" w:eastAsia="Arial" w:hAnsi="Arial"/>
                <w:sz w:val="18"/>
                <w:szCs w:val="18"/>
                <w:color w:val="auto"/>
              </w:rPr>
              <w:t>13,500</w:t>
            </w:r>
          </w:p>
        </w:tc>
        <w:tc>
          <w:tcPr>
            <w:tcW w:w="4160" w:type="dxa"/>
            <w:vAlign w:val="bottom"/>
            <w:gridSpan w:val="3"/>
          </w:tcPr>
          <w:p>
            <w:pPr>
              <w:jc w:val="right"/>
              <w:ind w:right="1560"/>
              <w:spacing w:after="0"/>
              <w:rPr>
                <w:sz w:val="20"/>
                <w:szCs w:val="20"/>
                <w:color w:val="auto"/>
              </w:rPr>
            </w:pPr>
            <w:r>
              <w:rPr>
                <w:rFonts w:ascii="Arial" w:cs="Arial" w:eastAsia="Arial" w:hAnsi="Arial"/>
                <w:sz w:val="18"/>
                <w:szCs w:val="18"/>
                <w:color w:val="auto"/>
              </w:rPr>
              <w:t>5.75</w:t>
            </w:r>
          </w:p>
        </w:tc>
        <w:tc>
          <w:tcPr>
            <w:tcW w:w="132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1,833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4160" w:type="dxa"/>
            <w:vAlign w:val="bottom"/>
            <w:gridSpan w:val="3"/>
            <w:shd w:val="clear" w:color="auto" w:fill="CCEEFF"/>
          </w:tcPr>
          <w:p>
            <w:pPr>
              <w:jc w:val="right"/>
              <w:ind w:right="1560"/>
              <w:spacing w:after="0"/>
              <w:rPr>
                <w:sz w:val="20"/>
                <w:szCs w:val="20"/>
                <w:color w:val="auto"/>
              </w:rPr>
            </w:pPr>
            <w:r>
              <w:rPr>
                <w:rFonts w:ascii="Arial" w:cs="Arial" w:eastAsia="Arial" w:hAnsi="Arial"/>
                <w:sz w:val="18"/>
                <w:szCs w:val="18"/>
                <w:color w:val="auto"/>
              </w:rPr>
              <w:t>5.75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gridSpan w:val="2"/>
          </w:tcPr>
          <w:p>
            <w:pPr>
              <w:jc w:val="right"/>
              <w:ind w:right="1560"/>
              <w:spacing w:after="0"/>
              <w:rPr>
                <w:sz w:val="20"/>
                <w:szCs w:val="20"/>
                <w:color w:val="auto"/>
              </w:rPr>
            </w:pPr>
            <w:r>
              <w:rPr>
                <w:rFonts w:ascii="Arial" w:cs="Arial" w:eastAsia="Arial" w:hAnsi="Arial"/>
                <w:sz w:val="18"/>
                <w:szCs w:val="18"/>
                <w:color w:val="auto"/>
              </w:rPr>
              <w:t>2,080</w:t>
            </w:r>
          </w:p>
        </w:tc>
        <w:tc>
          <w:tcPr>
            <w:tcW w:w="880" w:type="dxa"/>
            <w:vAlign w:val="bottom"/>
          </w:tcPr>
          <w:p>
            <w:pPr>
              <w:jc w:val="right"/>
              <w:spacing w:after="0"/>
              <w:rPr>
                <w:sz w:val="20"/>
                <w:szCs w:val="20"/>
                <w:color w:val="auto"/>
              </w:rPr>
            </w:pPr>
            <w:r>
              <w:rPr>
                <w:rFonts w:ascii="Arial" w:cs="Arial" w:eastAsia="Arial" w:hAnsi="Arial"/>
                <w:sz w:val="18"/>
                <w:szCs w:val="18"/>
                <w:color w:val="auto"/>
              </w:rPr>
              <w:t>10,582</w:t>
            </w:r>
          </w:p>
        </w:tc>
        <w:tc>
          <w:tcPr>
            <w:tcW w:w="4160" w:type="dxa"/>
            <w:vAlign w:val="bottom"/>
            <w:gridSpan w:val="3"/>
          </w:tcPr>
          <w:p>
            <w:pPr>
              <w:jc w:val="right"/>
              <w:ind w:right="1560"/>
              <w:spacing w:after="0"/>
              <w:rPr>
                <w:sz w:val="20"/>
                <w:szCs w:val="20"/>
                <w:color w:val="auto"/>
              </w:rPr>
            </w:pPr>
            <w:r>
              <w:rPr>
                <w:rFonts w:ascii="Arial" w:cs="Arial" w:eastAsia="Arial" w:hAnsi="Arial"/>
                <w:sz w:val="18"/>
                <w:szCs w:val="18"/>
                <w:color w:val="auto"/>
              </w:rPr>
              <w:t>5.75</w:t>
            </w:r>
          </w:p>
        </w:tc>
        <w:tc>
          <w:tcPr>
            <w:tcW w:w="1320" w:type="dxa"/>
            <w:vAlign w:val="bottom"/>
          </w:tcPr>
          <w:p>
            <w:pPr>
              <w:jc w:val="right"/>
              <w:spacing w:after="0"/>
              <w:rPr>
                <w:sz w:val="20"/>
                <w:szCs w:val="20"/>
                <w:color w:val="auto"/>
              </w:rPr>
            </w:pPr>
            <w:r>
              <w:rPr>
                <w:rFonts w:ascii="Arial" w:cs="Arial" w:eastAsia="Arial" w:hAnsi="Arial"/>
                <w:sz w:val="18"/>
                <w:szCs w:val="18"/>
                <w:color w:val="auto"/>
              </w:rPr>
              <w:t>2,646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Kaplan stock options at January 2, 2006, the adoption date of SFAS 123R, and at April 2, 2006, was estimated using the Black-Scholes method utilizing the following assumptions:</w:t>
      </w:r>
    </w:p>
    <w:p>
      <w:pPr>
        <w:spacing w:after="0" w:line="15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00" w:type="dxa"/>
            <w:vAlign w:val="bottom"/>
          </w:tcPr>
          <w:p>
            <w:pPr>
              <w:jc w:val="right"/>
              <w:ind w:right="159"/>
              <w:spacing w:after="0"/>
              <w:rPr>
                <w:sz w:val="20"/>
                <w:szCs w:val="20"/>
                <w:color w:val="auto"/>
              </w:rPr>
            </w:pPr>
            <w:r>
              <w:rPr>
                <w:rFonts w:ascii="Arial" w:cs="Arial" w:eastAsia="Arial" w:hAnsi="Arial"/>
                <w:sz w:val="14"/>
                <w:szCs w:val="14"/>
                <w:b w:val="1"/>
                <w:bCs w:val="1"/>
                <w:color w:val="auto"/>
              </w:rPr>
              <w:t>January 2,</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1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2006</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 4</w:t>
            </w: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 – 4.75</w:t>
            </w:r>
          </w:p>
        </w:tc>
        <w:tc>
          <w:tcPr>
            <w:tcW w:w="20" w:type="dxa"/>
            <w:vAlign w:val="bottom"/>
          </w:tcPr>
          <w:p>
            <w:pPr>
              <w:spacing w:after="0"/>
              <w:rPr>
                <w:sz w:val="18"/>
                <w:szCs w:val="18"/>
                <w:color w:val="auto"/>
              </w:rPr>
            </w:pPr>
          </w:p>
        </w:tc>
      </w:tr>
      <w:tr>
        <w:trPr>
          <w:trHeight w:val="216"/>
        </w:trPr>
        <w:tc>
          <w:tcPr>
            <w:tcW w:w="5980" w:type="dxa"/>
            <w:vAlign w:val="bottom"/>
          </w:tcPr>
          <w:p>
            <w:pPr>
              <w:ind w:left="420"/>
              <w:spacing w:after="0"/>
              <w:rPr>
                <w:sz w:val="20"/>
                <w:szCs w:val="20"/>
                <w:color w:val="auto"/>
              </w:rPr>
            </w:pPr>
            <w:r>
              <w:rPr>
                <w:rFonts w:ascii="Arial" w:cs="Arial" w:eastAsia="Arial" w:hAnsi="Arial"/>
                <w:sz w:val="18"/>
                <w:szCs w:val="18"/>
                <w:color w:val="auto"/>
              </w:rPr>
              <w:t>Interest rate</w:t>
            </w: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4.27% – 4.34%</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4.76% – 4.84%</w:t>
            </w:r>
          </w:p>
        </w:tc>
        <w:tc>
          <w:tcPr>
            <w:tcW w:w="20" w:type="dxa"/>
            <w:vAlign w:val="bottom"/>
          </w:tcPr>
          <w:p>
            <w:pPr>
              <w:spacing w:after="0"/>
              <w:rPr>
                <w:sz w:val="18"/>
                <w:szCs w:val="18"/>
                <w:color w:val="auto"/>
              </w:rPr>
            </w:pPr>
          </w:p>
        </w:tc>
      </w:tr>
      <w:tr>
        <w:trPr>
          <w:trHeight w:val="216"/>
        </w:trPr>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33.0% – 38.0%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33.6% – 40.1%</w:t>
            </w:r>
          </w:p>
        </w:tc>
        <w:tc>
          <w:tcPr>
            <w:tcW w:w="20" w:type="dxa"/>
            <w:vAlign w:val="bottom"/>
          </w:tcPr>
          <w:p>
            <w:pPr>
              <w:spacing w:after="0"/>
              <w:rPr>
                <w:sz w:val="18"/>
                <w:szCs w:val="18"/>
                <w:color w:val="auto"/>
              </w:rPr>
            </w:pPr>
          </w:p>
        </w:tc>
      </w:tr>
      <w:tr>
        <w:trPr>
          <w:trHeight w:val="222"/>
        </w:trPr>
        <w:tc>
          <w:tcPr>
            <w:tcW w:w="5980" w:type="dxa"/>
            <w:vAlign w:val="bottom"/>
          </w:tcPr>
          <w:p>
            <w:pPr>
              <w:ind w:left="420"/>
              <w:spacing w:after="0"/>
              <w:rPr>
                <w:sz w:val="20"/>
                <w:szCs w:val="20"/>
                <w:color w:val="auto"/>
              </w:rPr>
            </w:pPr>
            <w:r>
              <w:rPr>
                <w:rFonts w:ascii="Arial" w:cs="Arial" w:eastAsia="Arial" w:hAnsi="Arial"/>
                <w:sz w:val="18"/>
                <w:szCs w:val="18"/>
                <w:color w:val="auto"/>
              </w:rPr>
              <w:t>Dividend yield</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Awards.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1982, the Company adopted a long-term incentive compensation plan, which, among other provisions, authorizes the awarding of Class B 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April 2, 2006, there were 186,850 shares reserved for issuance under the incentive compensation plan. Of this number, 29,275 shares were subject to awards outstanding, and 157,575 shares were available for future awards. Activity related to stock awards under the long-term incentive compensation plan for the quarter ended April 2, 2006, was as follows: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w w:val="86"/>
              </w:rPr>
              <w:t>Average</w:t>
            </w:r>
          </w:p>
        </w:tc>
      </w:tr>
      <w:tr>
        <w:trPr>
          <w:trHeight w:val="161"/>
        </w:trPr>
        <w:tc>
          <w:tcPr>
            <w:tcW w:w="686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Award Price</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29,580</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760.14</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721.32</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868.32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2, 2006</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29,275</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818.33</w:t>
            </w:r>
          </w:p>
        </w:tc>
      </w:tr>
      <w:tr>
        <w:trPr>
          <w:trHeight w:val="20"/>
        </w:trPr>
        <w:tc>
          <w:tcPr>
            <w:tcW w:w="6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April 2, 2006, there was $13.0 million of total unrecognized compensation cost related to restricted stock. That cost is expected to be recognized over a weighted-average period of 1.7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costs resulting from restricted stock reduced net income by $1.0 million during the first quarter of 2006.</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first quarter 2006 and 2005 diluted earnings per share amount excludes the effects of 13,000 stock options outstanding and 4,000 stock options outstanding, respectively, as their inclusion would be antidilutive.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and Postretirement Plans.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first quarters ended April 2, 2006 and April 3, 2005 consists of the following components (in thousands):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15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Postretirement Plans</w:t>
            </w:r>
          </w:p>
        </w:tc>
      </w:tr>
      <w:tr>
        <w:trPr>
          <w:trHeight w:val="129"/>
        </w:trPr>
        <w:tc>
          <w:tcPr>
            <w:tcW w:w="50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April 2,</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April 3,</w:t>
            </w:r>
          </w:p>
        </w:tc>
        <w:tc>
          <w:tcPr>
            <w:tcW w:w="34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April 2,</w:t>
            </w: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r>
      <w:tr>
        <w:trPr>
          <w:trHeight w:val="161"/>
        </w:trPr>
        <w:tc>
          <w:tcPr>
            <w:tcW w:w="5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$ 1,624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1,506</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10,298</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9,933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1,859</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(23,262)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(26,067)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(1,026)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 for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(9,151)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$ 3,194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2,953</w:t>
            </w:r>
          </w:p>
        </w:tc>
        <w:tc>
          <w:tcPr>
            <w:tcW w:w="6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 January 1, 2006, the Company reduced it assumption on the expected rate of return on plan assets from 7.5% to 6.5% for its pension plans.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Washington Post implemented a voluntary early retirement program to the Mailers employees in April 2006; pre-tax charges of $1.1 million will be recorded in the second quarter of 2006 in connection with this program. In April 2006, the Company announced a voluntary early retirement program being offered to a large group of exempt and Guild-covered employees at The Washington Post and Corporate; the offer includes an incentive payment, enhanced retirement benefits and subsidized retiree health insurance; the enrollment period for this program expires at the end of May 2006 and the Company will record the costs associated with this program in the second quarter of 2006.</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 Hurricane Losses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cable division was significantly impacted by hurricane Katrina, which hit the Gulf Coast in August 2005. About 94,000 of the cable division’s pre-hurricane subscribers were located on the Gulf Coast of Mississippi, including Gulfport, Biloxi, Pascagoula and other neighboring communities where storm damage was significant.</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2005, the Company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During the first quarter of 2006, a portion of this receivable has been received; however, no additional insurance recovery amounts have yet been recorded related to 2005 or 2006.</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10 – Other Non-Operating Income (Expense)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recorded other non-operating expense, net, of $0.2 million for the first quarter of 2006, compared to other non-operating income, net, of $7.1 million for the first quarter of 2005.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thirteen weeks ended April 2, 2006 and April 3, 2005, is as follows (in millions):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Thirteen Weeks Ended</w:t>
            </w:r>
          </w:p>
        </w:tc>
      </w:tr>
      <w:tr>
        <w:trPr>
          <w:trHeight w:val="129"/>
        </w:trPr>
        <w:tc>
          <w:tcPr>
            <w:tcW w:w="67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rPr>
              <w:t>April 2,</w:t>
            </w: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3,</w:t>
            </w:r>
          </w:p>
        </w:tc>
        <w:tc>
          <w:tcPr>
            <w:tcW w:w="60" w:type="dxa"/>
            <w:vAlign w:val="bottom"/>
          </w:tcPr>
          <w:p>
            <w:pPr>
              <w:spacing w:after="0"/>
              <w:rPr>
                <w:sz w:val="11"/>
                <w:szCs w:val="11"/>
                <w:color w:val="auto"/>
              </w:rPr>
            </w:pPr>
          </w:p>
        </w:tc>
      </w:tr>
      <w:tr>
        <w:trPr>
          <w:trHeight w:val="161"/>
        </w:trPr>
        <w:tc>
          <w:tcPr>
            <w:tcW w:w="6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2006</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(losses),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Gain on sale of non-operating property</w:t>
            </w:r>
          </w:p>
        </w:tc>
        <w:tc>
          <w:tcPr>
            <w:tcW w:w="12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marketable equity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gains (losses), net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22"/>
        </w:trPr>
        <w:tc>
          <w:tcPr>
            <w:tcW w:w="676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1</w:t>
            </w:r>
          </w:p>
        </w:tc>
        <w:tc>
          <w:tcPr>
            <w:tcW w:w="6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11: Contingencies.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Kaplan Inc. is a party to a proposed class action antitrust lawsuit in California filed on April 29, 2005. The suit alleges violations of the Sherman Act. The Company intends to defend the lawsuit vigorously. Management does not believe that any litigation pending against the Company will have a material adverse effect on its business or financial condition.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Net income for the first quarter of 2006 was $76.9 million ($7.95 per share), up from net income of $66.6 million ($6.87 per share) for the first quarter of last year.</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Results for the first quarter of 2006 included a charge for the cumulative effect of a change in accounting for Kaplan equity awards (after-tax impact of $5.1 million, or $0.53 per share) in connection with the Company’s adoption of Statement of Financial Accounting Standards No. 123R (SFAS 123R), “Share-Based Payment.” Results for the first quarter of 2005 included after-tax non-operating gains from the sales of non-operating land and marketable securities (after-tax impact of $5.4 million, or $0.56 per share).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first quarter of 2006 was $948.3 million, up 14% from $833.9 million in 2005. Operating income for the quarter increased 28% to $137.8 million, from $108.0 million in 2005. Each of the Company’s divisions reported an increase in revenue and operating income during the quarter, particularly at the education division.</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Company’s operating income for the first quarter of 2006 includes $5.7 million of net pension credits, compared to $9.2 million in the first quarter of 2005. At January 1, 2006, the Company reduced its expected return on plan assets from 7.5% to 6.5%. Overall, the pension credit for 2006 is expected to be down by about $15 million, excluding charges related to early retirement programs.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$243.5 million for the first quarter of 2006, a 4% increase from revenue of</w:t>
      </w:r>
    </w:p>
    <w:p>
      <w:pPr>
        <w:spacing w:after="0" w:line="44"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$233.0 million for the first quarter of 2005. Division operating income was up 2% to $32.0 million, from $31.4 million in 2005. The increase in operating income reflects increased division revenues and improved results at the Company’s online publishing activities, both washingtonpost.com and Slate. This was offset by a 12% increase in newsprint expense for the entire newspaper division (including The Washington Post, Express, El Tiempo, The Herald, The Gazette newspapers, and Greater Washington Publishing publications) and increased pension expense.</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Print advertising revenue at The Washington Post newspaper increased 3% to $149.8 million, from $145.7 million in 2005. This growth was driven by advertising revenue increases in zones and classified, offset by declines in national and retail. Classified recruitment advertising revenue was up slightly to $21.8 million, from $21.7 million in the first quarter of 2005.</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For the first quarter of 2006, Post daily and Sunday circulation declined 2.0% and 3.4%, respectively, compared to the first quarter of 2005. For the three months ended April 2, 2006, average daily circulation at The Post totaled 690,700 and average Sunday circulation totaled 958,800.</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34% to $22.8 million for the first quarter of 2006, versus $17.0 million for 2005. The increase is largely due to growth in local and national online advertising revenues of 58%, as well as a 24% increase in online classified advertising revenue on washingtonpost.com. A small portion of the Company’s online publishing revenues is included in the magazine publishing division.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Washington Post implemented a voluntary early retirement program to the Mailers employees in April 2006; pre-tax charges of $1.1 million will be recorded in the second quarter of 2006 in connection with this program. In April 2006, the Company announced a voluntary early retirement program being offered to a large group of exempt and Guild-covered employees at The Washington Post and Corporate; the offer includes an incentive payment, enhanced retirement benefits and subsidized retiree health insurance; the enrollment period for this program expires at the end of May 2006 and the Company will record the costs associated with this program in the second quarter of 2006.</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January 2006, The Washington Post announced an agreement to develop programming content for a new radio station (Washington Post Radio) owned by Bonneville International; Washington Post Radio began broadcasting at the end of March 2006.</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broadcast division rose 8% in the first quarter of 2006 to $85.9 million, from $79.3 million in 2005.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due to $6.3 million in incremental winter Olympics-related advertising at the Company’s NBC affiliates. Operating income for the first quarter of 2006 increased 15% to $37.6 million, from $32.8 million in 2005, due to higher advertising revenues.</w:t>
      </w:r>
    </w:p>
    <w:p>
      <w:pPr>
        <w:spacing w:after="0" w:line="132"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b w:val="1"/>
          <w:bCs w:val="1"/>
          <w:color w:val="auto"/>
        </w:rPr>
        <w:t>Magazine Publishing Division</w:t>
      </w:r>
      <w:r>
        <w:rPr>
          <w:rFonts w:ascii="Arial" w:cs="Arial" w:eastAsia="Arial" w:hAnsi="Arial"/>
          <w:sz w:val="15"/>
          <w:szCs w:val="15"/>
          <w:color w:val="auto"/>
        </w:rPr>
        <w:t>. Revenue for the magazine publishing division totaled $74.8 million for the first quarter of 2006, a 7% increase from $69.9</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for the first quarter of 2005. The increase in revenues is due to the combination of a 14% advertising revenue increase at Newsweek primarily from increased ad pages at the domestic edition and higher revenue at PostNewsweek Tech Media, whose primary trade show took place in the first quarter of 2006, versus the second quarter in 2005. The revenue increase was offset by a reduction in Newsweek domestic and international circulation revenues, due to subscription rate declines at the domestic edition of Newsweek, and subscription rate and rate base declines at certain of the international editions of Newsweek.</w:t>
      </w:r>
    </w:p>
    <w:p>
      <w:pPr>
        <w:spacing w:after="0" w:line="9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division had an operating loss of $0.9 million in the first quarter of 2006, compared to an operating loss of $5.2 million in the first quarter of 2005. This improvement is due to the revenue increase discussed above and lower subscription acquisition expenses, offset by a reduced pension credit.</w:t>
      </w:r>
    </w:p>
    <w:p>
      <w:pPr>
        <w:spacing w:after="0" w:line="79"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Cable Television Division</w:t>
      </w:r>
      <w:r>
        <w:rPr>
          <w:rFonts w:ascii="Arial" w:cs="Arial" w:eastAsia="Arial" w:hAnsi="Arial"/>
          <w:sz w:val="16"/>
          <w:szCs w:val="16"/>
          <w:color w:val="auto"/>
        </w:rPr>
        <w:t>. Cable division revenue of $135.2 million for the first quarter of 2006 represents a 7% increase over 2005 first quarter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$126.4 million. The 2006 revenue increase is due to continued growth in the division’s cable modem revenues and a $3 monthly rate increase for basic cable service at most of its systems effective February 1, 2006. The cable division continues to be adversely impacted by subscriber losses due to Hurricane Katrina, which hit the Gulf Coast in August of 2005; first quarter 2006 revenues were adversely impacted by approximately $3.5 million.</w:t>
      </w:r>
    </w:p>
    <w:p>
      <w:pPr>
        <w:spacing w:after="0" w:line="10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Cable division operating income increased 9% to $25.4 million in the first quarter of 2006, versus $23.4 million in the first quarter of 2005. The increase in operating income is due mostly to the division’s revenue growth, offset by higher programming expenses and increases in technical and marketing costs. Hurricane Katrina had an estimated adverse impact on operating income of $4.0 million on the cable division’s results, due to subscriber losses and an estimated $1.8 million in additional expenses associated with the hurricane in the first quarter of 2006.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2005, the Company recorded a $5.0 million receivable for recovery of a portion of cable hurricane losses through December 31, 2005 under the Company’s property and business interruption insurance program; this recovery was recorded as a reduction of cable division expense in the fourth quarter of 2005. During the first quarter of 2006, a portion of this receivable has been received; however, no additional insurance recovery amounts have yet been recorded related to 2005 or 2006.</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March 31, 2006, excluding the Gulf Coast region, the cable division shows an increase in Revenue Generating Units (RGUs) for each of the basic video, digital video and high-speed data subscriber categories, as compared to March 31, 2005. For the Gulf Coast region, there is a decline in basic and digital video RGUs due to Hurricane Katrina; however, the number of high-speed data subscribers has increased in the Gulf Coast region. RGUs include about 7,000 subscribers who receive free basic cable service, primarily local governments, schools and other organizations as required by the various franchise agreements. A summary of RGUs broken down by Gulf Coast and all other regions is as follows:</w:t>
      </w:r>
    </w:p>
    <w:p>
      <w:pPr>
        <w:spacing w:after="0" w:line="13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5"/>
        </w:trPr>
        <w:tc>
          <w:tcPr>
            <w:tcW w:w="6900" w:type="dxa"/>
            <w:vAlign w:val="bottom"/>
            <w:gridSpan w:val="5"/>
          </w:tcPr>
          <w:p>
            <w:pPr>
              <w:spacing w:after="0"/>
              <w:rPr>
                <w:sz w:val="20"/>
                <w:szCs w:val="20"/>
                <w:color w:val="auto"/>
              </w:rPr>
            </w:pPr>
            <w:r>
              <w:rPr>
                <w:rFonts w:ascii="Arial" w:cs="Arial" w:eastAsia="Arial" w:hAnsi="Arial"/>
                <w:sz w:val="14"/>
                <w:szCs w:val="14"/>
                <w:b w:val="1"/>
                <w:bCs w:val="1"/>
                <w:color w:val="auto"/>
              </w:rPr>
              <w:t>Cable Division Subscribers</w:t>
            </w: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94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0"/>
        </w:trPr>
        <w:tc>
          <w:tcPr>
            <w:tcW w:w="1320" w:type="dxa"/>
            <w:vAlign w:val="bottom"/>
            <w:tcBorders>
              <w:top w:val="single" w:sz="8" w:color="auto"/>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8"/>
              </w:rPr>
              <w:t>Gulf Coast Region</w:t>
            </w: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53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40" w:type="dxa"/>
            <w:vAlign w:val="bottom"/>
            <w:gridSpan w:val="4"/>
          </w:tcPr>
          <w:p>
            <w:pPr>
              <w:ind w:left="80"/>
              <w:spacing w:after="0"/>
              <w:rPr>
                <w:sz w:val="20"/>
                <w:szCs w:val="20"/>
                <w:color w:val="auto"/>
              </w:rPr>
            </w:pPr>
            <w:r>
              <w:rPr>
                <w:rFonts w:ascii="Arial" w:cs="Arial" w:eastAsia="Arial" w:hAnsi="Arial"/>
                <w:sz w:val="18"/>
                <w:szCs w:val="18"/>
                <w:color w:val="auto"/>
              </w:rPr>
              <w:t>Basic</w:t>
            </w:r>
          </w:p>
        </w:tc>
        <w:tc>
          <w:tcPr>
            <w:tcW w:w="700" w:type="dxa"/>
            <w:vAlign w:val="bottom"/>
          </w:tcPr>
          <w:p>
            <w:pPr>
              <w:jc w:val="right"/>
              <w:spacing w:after="0"/>
              <w:rPr>
                <w:sz w:val="20"/>
                <w:szCs w:val="20"/>
                <w:color w:val="auto"/>
              </w:rPr>
            </w:pPr>
            <w:r>
              <w:rPr>
                <w:rFonts w:ascii="Arial" w:cs="Arial" w:eastAsia="Arial" w:hAnsi="Arial"/>
                <w:sz w:val="18"/>
                <w:szCs w:val="18"/>
                <w:color w:val="auto"/>
              </w:rPr>
              <w:t>78,090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94,379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54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28,963</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153,519</w:t>
            </w:r>
          </w:p>
        </w:tc>
        <w:tc>
          <w:tcPr>
            <w:tcW w:w="0" w:type="dxa"/>
            <w:vAlign w:val="bottom"/>
          </w:tcPr>
          <w:p>
            <w:pPr>
              <w:spacing w:after="0"/>
              <w:rPr>
                <w:sz w:val="1"/>
                <w:szCs w:val="1"/>
                <w:color w:val="auto"/>
              </w:rPr>
            </w:pPr>
          </w:p>
        </w:tc>
      </w:tr>
      <w:tr>
        <w:trPr>
          <w:trHeight w:val="20"/>
        </w:trPr>
        <w:tc>
          <w:tcPr>
            <w:tcW w:w="6900" w:type="dxa"/>
            <w:vAlign w:val="bottom"/>
            <w:gridSpan w:val="5"/>
            <w:vMerge w:val="restart"/>
          </w:tcPr>
          <w:p>
            <w:pPr>
              <w:spacing w:after="0"/>
              <w:rPr>
                <w:sz w:val="20"/>
                <w:szCs w:val="20"/>
                <w:color w:val="auto"/>
              </w:rPr>
            </w:pPr>
            <w:r>
              <w:rPr>
                <w:rFonts w:ascii="Arial" w:cs="Arial" w:eastAsia="Arial" w:hAnsi="Arial"/>
                <w:sz w:val="18"/>
                <w:szCs w:val="18"/>
                <w:color w:val="auto"/>
              </w:rPr>
              <w:t>All Other Regions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0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616,004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40" w:type="dxa"/>
            <w:vAlign w:val="bottom"/>
            <w:gridSpan w:val="4"/>
          </w:tcPr>
          <w:p>
            <w:pPr>
              <w:ind w:left="80"/>
              <w:spacing w:after="0"/>
              <w:rPr>
                <w:sz w:val="20"/>
                <w:szCs w:val="20"/>
                <w:color w:val="auto"/>
              </w:rPr>
            </w:pPr>
            <w:r>
              <w:rPr>
                <w:rFonts w:ascii="Arial" w:cs="Arial" w:eastAsia="Arial" w:hAnsi="Arial"/>
                <w:sz w:val="18"/>
                <w:szCs w:val="18"/>
                <w:color w:val="auto"/>
              </w:rPr>
              <w:t>Digital</w:t>
            </w:r>
          </w:p>
        </w:tc>
        <w:tc>
          <w:tcPr>
            <w:tcW w:w="700" w:type="dxa"/>
            <w:vAlign w:val="bottom"/>
          </w:tcPr>
          <w:p>
            <w:pPr>
              <w:jc w:val="right"/>
              <w:spacing w:after="0"/>
              <w:rPr>
                <w:sz w:val="20"/>
                <w:szCs w:val="20"/>
                <w:color w:val="auto"/>
              </w:rPr>
            </w:pPr>
            <w:r>
              <w:rPr>
                <w:rFonts w:ascii="Arial" w:cs="Arial" w:eastAsia="Arial" w:hAnsi="Arial"/>
                <w:sz w:val="18"/>
                <w:szCs w:val="18"/>
                <w:color w:val="auto"/>
              </w:rPr>
              <w:t>185,349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185,272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High-speed data</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224,096</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173,352</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6540" w:type="dxa"/>
            <w:vAlign w:val="bottom"/>
            <w:gridSpan w:val="4"/>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1,026,819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974,628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tcPr>
          <w:p>
            <w:pPr>
              <w:spacing w:after="0"/>
              <w:rPr>
                <w:sz w:val="18"/>
                <w:szCs w:val="18"/>
                <w:color w:val="auto"/>
              </w:rPr>
            </w:pPr>
          </w:p>
        </w:tc>
        <w:tc>
          <w:tcPr>
            <w:tcW w:w="6540" w:type="dxa"/>
            <w:vAlign w:val="bottom"/>
            <w:tcBorders>
              <w:top w:val="single" w:sz="8" w:color="CCEEFF"/>
            </w:tcBorders>
            <w:gridSpan w:val="4"/>
          </w:tcPr>
          <w:p>
            <w:pPr>
              <w:ind w:left="80"/>
              <w:spacing w:after="0"/>
              <w:rPr>
                <w:sz w:val="20"/>
                <w:szCs w:val="20"/>
                <w:color w:val="auto"/>
              </w:rPr>
            </w:pPr>
            <w:r>
              <w:rPr>
                <w:rFonts w:ascii="Arial" w:cs="Arial" w:eastAsia="Arial" w:hAnsi="Arial"/>
                <w:sz w:val="18"/>
                <w:szCs w:val="18"/>
                <w:color w:val="auto"/>
              </w:rPr>
              <w:t>Basic</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695,464</w:t>
            </w:r>
          </w:p>
        </w:tc>
        <w:tc>
          <w:tcPr>
            <w:tcW w:w="9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710,383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Digital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220,386</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540" w:type="dxa"/>
            <w:vAlign w:val="bottom"/>
            <w:gridSpan w:val="4"/>
          </w:tcPr>
          <w:p>
            <w:pPr>
              <w:ind w:left="80"/>
              <w:spacing w:after="0"/>
              <w:rPr>
                <w:sz w:val="20"/>
                <w:szCs w:val="20"/>
                <w:color w:val="auto"/>
              </w:rPr>
            </w:pPr>
            <w:r>
              <w:rPr>
                <w:rFonts w:ascii="Arial" w:cs="Arial" w:eastAsia="Arial" w:hAnsi="Arial"/>
                <w:sz w:val="18"/>
                <w:szCs w:val="18"/>
                <w:color w:val="auto"/>
              </w:rPr>
              <w:t>High-speed data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253,059</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197,378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1,163,181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1,128,147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2006 and 2005, as defined by the NCTA Standard Reporting Categories (in millions):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Commercial</w:t>
            </w:r>
          </w:p>
        </w:tc>
        <w:tc>
          <w:tcPr>
            <w:tcW w:w="2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Line Extensions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Support Capital</w:t>
            </w:r>
          </w:p>
        </w:tc>
        <w:tc>
          <w:tcPr>
            <w:tcW w:w="26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16.3</w:t>
            </w:r>
          </w:p>
        </w:tc>
      </w:tr>
      <w:tr>
        <w:trPr>
          <w:trHeight w:val="20"/>
        </w:trPr>
        <w:tc>
          <w:tcPr>
            <w:tcW w:w="4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$408.9 million for the first quarter of 2006, a 26% increase over revenue of $325.4 million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2005. Excluding revenue from acquired businesses, education division revenue increased 17% for the first quarter of 2006. Kaplan reported first quarter 2006 operating income of $52.6 million, an increase of 61% from $32.6 million in the first quarter of 2005.</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first quarter operating results compared to 2005 is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r>
      <w:tr>
        <w:trPr>
          <w:trHeight w:val="142"/>
        </w:trPr>
        <w:tc>
          <w:tcPr>
            <w:tcW w:w="5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r>
      <w:tr>
        <w:trPr>
          <w:trHeight w:val="190"/>
        </w:trPr>
        <w:tc>
          <w:tcPr>
            <w:tcW w:w="6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3"/>
              </w:rPr>
              <w:t>Revenue</w:t>
            </w:r>
          </w:p>
        </w:tc>
        <w:tc>
          <w:tcPr>
            <w:tcW w:w="510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216"/>
        </w:trPr>
        <w:tc>
          <w:tcPr>
            <w:tcW w:w="5720" w:type="dxa"/>
            <w:vAlign w:val="bottom"/>
            <w:gridSpan w:val="3"/>
          </w:tcPr>
          <w:p>
            <w:pPr>
              <w:ind w:left="44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193,429</w:t>
            </w:r>
          </w:p>
        </w:tc>
        <w:tc>
          <w:tcPr>
            <w:tcW w:w="2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156,464</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215,505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168,919</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408,934</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325,383</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17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87"/>
              </w:rPr>
              <w:t>Operating income (loss)</w:t>
            </w:r>
          </w:p>
        </w:tc>
        <w:tc>
          <w:tcPr>
            <w:tcW w:w="4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r>
      <w:tr>
        <w:trPr>
          <w:trHeight w:val="216"/>
        </w:trPr>
        <w:tc>
          <w:tcPr>
            <w:tcW w:w="5720" w:type="dxa"/>
            <w:vAlign w:val="bottom"/>
            <w:gridSpan w:val="3"/>
          </w:tcPr>
          <w:p>
            <w:pPr>
              <w:ind w:left="440"/>
              <w:spacing w:after="0"/>
              <w:rPr>
                <w:sz w:val="20"/>
                <w:szCs w:val="20"/>
                <w:color w:val="auto"/>
              </w:rPr>
            </w:pPr>
            <w:r>
              <w:rPr>
                <w:rFonts w:ascii="Arial" w:cs="Arial" w:eastAsia="Arial" w:hAnsi="Arial"/>
                <w:sz w:val="18"/>
                <w:szCs w:val="18"/>
                <w:color w:val="auto"/>
              </w:rPr>
              <w:t>Supplemental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32,553</w:t>
            </w:r>
          </w:p>
        </w:tc>
        <w:tc>
          <w:tcPr>
            <w:tcW w:w="2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24,365</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720" w:type="dxa"/>
            <w:vAlign w:val="bottom"/>
            <w:gridSpan w:val="3"/>
          </w:tcPr>
          <w:p>
            <w:pPr>
              <w:ind w:left="440"/>
              <w:spacing w:after="0"/>
              <w:rPr>
                <w:sz w:val="20"/>
                <w:szCs w:val="20"/>
                <w:color w:val="auto"/>
              </w:rPr>
            </w:pPr>
            <w:r>
              <w:rPr>
                <w:rFonts w:ascii="Arial" w:cs="Arial" w:eastAsia="Arial" w:hAnsi="Arial"/>
                <w:sz w:val="18"/>
                <w:szCs w:val="18"/>
                <w:color w:val="auto"/>
              </w:rPr>
              <w:t>Kaplan corporate overhead</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(10,110)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(11,786)</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52,645</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32,632</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Excluding revenue from acquired businesses, supplemental education revenues grew by 11% in the first quarter of 2006. Test preparation revenue grew by 21% due to strong enrollment in the K12 business and GMAT and English-language course offerings, as well as from the August 2005 acquisition of The Kidum Group, the leading provider of test preparation services in Israel. Also included in supplemental education is FTC Kaplan Limited (FTC). Headquartered in London, FTC primarily provides training services for accountants and financial services professionals, with training centers in the United Kingdom and Asia. FTC revenues grew by 23% in the first quarter of 2006 compared to the first quarter of 2005 largely as a result of higher enrollment and price increases. Supplemental education results also include professional real estate, insurance, security and other professional courses, and related products. In April 2005, Kaplan Professional completed the acquisition of BISYS Education Services, a provider of licensing education and compliance solutions for financial services institutions and professionals. In the first quarter of 2006, the CFA courses contributed to growth in supplemental education, as did the BISYS business. These results were offset by soft market demand for Kaplan Professional’s real estate, insurance and securities course offerings. The final component of supplemental education is Score!, which provides academic enrichment to children. Revenues at Score! were up slightly in the first quarter of 2006. There were 165 Score! centers at the end of March 2006, compared to 166 at the end of March 2005.</w:t>
      </w:r>
    </w:p>
    <w:p>
      <w:pPr>
        <w:spacing w:after="0" w:line="124"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Higher education includes all of Kaplan’s post-secondary education businesses, including fixed-facility colleges as well as online post-secondary and career programs. In May 2005, Kaplan acquired Singapore-based Asia Pacific Management Institute (APMI), a private education provider for undergraduate and postgraduate students in Asia. Excluding revenue from acquired businesses, higher education revenues grew by 22% in the first quarter of 2006. Higher education enrollments increased by 17% to 77,000 at March 31, 2006, compared to 66,000 at March 31, 2005, with most of the new enrollment growth occurring in the online programs, as well as from acquisitions. Higher education results for the online programs in the first quarter of 2006 benefited from increases in both price and demand, as well as an increase in the number of course offerings. In the first quarter of 2006, there was a continued increase in higher education operating costs associated with expansion activities at the online operations, and to a lesser extent, at the fixed-facility operations, including new program offerings and higher facility and advertising expenses. Higher education operating cost increases for the fixed-facility colleges are expected to moderate as the year progresses.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represents unallocated expenses of Kaplan, Inc.’s corporate office.</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includes charges for incentive compensation arising from equity awards under the Kaplan stock option plan, which was established for certain members of Kaplan’s management. In addition, Other includes amortization of certain intangibles. In the first quarter of 2006, the Company adopted SFAS 123R, which required the Company to change its accounting for Kaplan equity awards from the intrinsic value method to the fair-value-based method of accounting (see additional discussion below regarding the cumulative effect of change in accounting principle). Excluding Kaplan stock compensation expense recorded as a result of this change in accounting, Kaplan recorded stock compensation expense of $1.9 million in the first quarter of 2006, compared to $7.0 million in the first quarter of 2005.</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In December 2005, Kaplan announced an agreement to acquire Tribeca Learning Limited, a leading education provided to the Australian financial services sector.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is expected to close in the second quarter of 2006.</w:t>
      </w:r>
    </w:p>
    <w:p>
      <w:pPr>
        <w:spacing w:after="0" w:line="159"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Equity in Losses of Affiliates</w:t>
      </w:r>
      <w:r>
        <w:rPr>
          <w:rFonts w:ascii="Arial" w:cs="Arial" w:eastAsia="Arial" w:hAnsi="Arial"/>
          <w:sz w:val="18"/>
          <w:szCs w:val="18"/>
          <w:color w:val="auto"/>
        </w:rPr>
        <w:t>. The Company’s equity in losses of affiliates for the first quarter of 2006 was $0.2 million, compared to losses of $0.5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2005. The Company’s affiliate investments consist of a 49% interest in BrassRing LLC and a 49% interest in Bowater Mersey Paper Company Limited.</w:t>
      </w:r>
    </w:p>
    <w:p>
      <w:pPr>
        <w:spacing w:after="0" w:line="132"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Other Non-Operating (Expense) Income</w:t>
      </w:r>
      <w:r>
        <w:rPr>
          <w:rFonts w:ascii="Arial" w:cs="Arial" w:eastAsia="Arial" w:hAnsi="Arial"/>
          <w:sz w:val="18"/>
          <w:szCs w:val="18"/>
          <w:color w:val="auto"/>
        </w:rPr>
        <w:t>. The Company recorded other non-operating expense, net, of $0.2 million for the first quarter of 2006,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$7.1 million of other non-operating income, net, in the first quarter of 2005. The first quarter 2006 non-operating expense, net, includes $0.6 million in pre-tax foreign currency gains offset by impairment write-downs on cost method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for the thirteen weeks ended April 2, 2006, and April 3, 2005,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non-operating property</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$ 5.4</w:t>
            </w:r>
          </w:p>
        </w:tc>
        <w:tc>
          <w:tcPr>
            <w:tcW w:w="6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Gain on sale of marketable equity securities</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Foreign currency gains (losses), net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(0.2)</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$ 7.1</w:t>
            </w:r>
          </w:p>
        </w:tc>
        <w:tc>
          <w:tcPr>
            <w:tcW w:w="6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Net Interest Expense</w:t>
      </w:r>
      <w:r>
        <w:rPr>
          <w:rFonts w:ascii="Arial" w:cs="Arial" w:eastAsia="Arial" w:hAnsi="Arial"/>
          <w:sz w:val="18"/>
          <w:szCs w:val="18"/>
          <w:color w:val="auto"/>
        </w:rPr>
        <w:t>. The Company incurred net interest expense of $4.7 million for the first quarter of 2006, compared to $5.9 million in 2005. At April 2,</w:t>
      </w:r>
      <w:r>
        <w:rPr>
          <w:rFonts w:ascii="Arial" w:cs="Arial" w:eastAsia="Arial" w:hAnsi="Arial"/>
          <w:sz w:val="18"/>
          <w:szCs w:val="18"/>
          <w:b w:val="1"/>
          <w:bCs w:val="1"/>
          <w:color w:val="auto"/>
        </w:rPr>
        <w:t xml:space="preserve"> </w:t>
      </w:r>
      <w:r>
        <w:rPr>
          <w:rFonts w:ascii="Arial" w:cs="Arial" w:eastAsia="Arial" w:hAnsi="Arial"/>
          <w:sz w:val="18"/>
          <w:szCs w:val="18"/>
          <w:color w:val="auto"/>
        </w:rPr>
        <w:t>2006, the Company had $423.6 million in borrowings outstanding at an average interest rate of 5.4%.</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The effective tax rate for the first quarter of 2006 was 38.3%, compared to 38.7% for 2005.</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the first quarter of 2006, the Company adopted SFAS 123R under the modified retrospective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SFAS 123R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requires companies to record the cost of employee services in exchange for stock options based on the grant-date fair value of the awards. SFAS 123R did not have any impact on the Company’s results of operations for Company stock options as the Company adopted the fair-value-based method of accounting for Company stock options in 2002. However, the adoption of SFAS 123R required the Company to change its accounting for Kaplan equity awards from the intrinsic value method to the fair-value-based method of accounting. As a result, in the first quarter of 2006, the Company reported a $5.1 million after-tax charge for the cumulative effect of change in accounting for Kaplan equity awards ($8.2 million in pre-tax Kaplan stock compensation expense). This change resulted in the acceleration of expense recognition for Kaplan equity awards, however, it will not impact the overall Kaplan stock compensation expense that will ultimately be recorded over the life of the award. Refer to Note 6 – Stock Options and Stock Awards in the “Notes to Condensed Consolidated Financial Statements” for additional information surrounding the impact of SFAS 123R and related disclosures.</w:t>
      </w:r>
    </w:p>
    <w:p>
      <w:pPr>
        <w:spacing w:after="0" w:line="112" w:lineRule="exact"/>
        <w:rPr>
          <w:sz w:val="20"/>
          <w:szCs w:val="20"/>
          <w:color w:val="auto"/>
        </w:rPr>
      </w:pPr>
    </w:p>
    <w:p>
      <w:pPr>
        <w:ind w:right="540"/>
        <w:spacing w:after="0" w:line="378" w:lineRule="auto"/>
        <w:rPr>
          <w:sz w:val="20"/>
          <w:szCs w:val="20"/>
          <w:color w:val="auto"/>
        </w:rPr>
      </w:pPr>
      <w:r>
        <w:rPr>
          <w:rFonts w:ascii="Arial" w:cs="Arial" w:eastAsia="Arial" w:hAnsi="Arial"/>
          <w:sz w:val="15"/>
          <w:szCs w:val="15"/>
          <w:b w:val="1"/>
          <w:bCs w:val="1"/>
          <w:color w:val="auto"/>
        </w:rPr>
        <w:t xml:space="preserve">Earnings Per Share. </w:t>
      </w:r>
      <w:r>
        <w:rPr>
          <w:rFonts w:ascii="Arial" w:cs="Arial" w:eastAsia="Arial" w:hAnsi="Arial"/>
          <w:sz w:val="15"/>
          <w:szCs w:val="15"/>
          <w:color w:val="auto"/>
        </w:rPr>
        <w:t>The calculation of diluted earnings per share for the first quarter 2006 was based on 9,606,000 weighted average shares outstanding,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compared to 9,617,000 for the first quarter of 2005. The Company made no significant repurchases of its stock during the first quarter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quarter of 2006, Kaplan acquired two businesses in their professional and higher education divisions;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totaled $7.4 million. Most of the purchase price for these acquisitions has been allocated to goodwill and other intangibles on a preliminary basis. In December 2005, Kaplan announced an agreement to acquire Tribeca Learning Limited, a leading education provided to the Australian financial services sector. The acquisition is expected to close in the second quarter of 2006.</w:t>
      </w:r>
    </w:p>
    <w:p>
      <w:pPr>
        <w:spacing w:after="0" w:line="13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2006, the Company’s capital expenditures totaled $58.3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$275 million to $300 million in 2006.</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declined by $4.8 million, to $423.6 million at April 2, 2006, as compared to borrowings of $428.4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2006</w:t>
      </w:r>
      <w:r>
        <w:rPr>
          <w:rFonts w:ascii="Arial" w:cs="Arial" w:eastAsia="Arial" w:hAnsi="Arial"/>
          <w:sz w:val="18"/>
          <w:szCs w:val="18"/>
          <w:i w:val="1"/>
          <w:iCs w:val="1"/>
          <w:color w:val="auto"/>
        </w:rPr>
        <w:t>.</w:t>
      </w:r>
      <w:r>
        <w:rPr>
          <w:rFonts w:ascii="Arial" w:cs="Arial" w:eastAsia="Arial" w:hAnsi="Arial"/>
          <w:sz w:val="18"/>
          <w:szCs w:val="18"/>
          <w:color w:val="auto"/>
        </w:rPr>
        <w:t xml:space="preserve"> At April 2, 2006, the Company has $250.0 million in cash and cash equivalents, compared to $215.9 million at January 1, 2006. The Company had commercial paper investments of $114.3 million and $59.2 million that are classified ad “Cash and cash equivalents” in the Company’s Consolidated Balance Sheet as of April 2, 2006 and January 1, 2006, respectively.</w:t>
      </w:r>
    </w:p>
    <w:p>
      <w:pPr>
        <w:spacing w:after="0" w:line="14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April 2, 2006, the Company had $423.6 million in total debt outstanding, which comprised $399.3 million of 5.5 percent unsecured notes due February 15, 2009, and $24.3 million in other debt.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2006 and 2005, the Company had average borrowings outstanding of approximately $426.0 million and $457.8 million, respectively, at average annual interest rates of approximately 5.4 percent and 5.2 percent, respectively. During the first quarter of 2006 and 2005, the Company incurred net interest expense of $4.7 million and $5.9 million, respectively.</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At April 2, 2006 and January 1, 2006, the Company has working capital of $154.5 million and $123.6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internally generated funds and, to a lesser extent, commercial paper borrowings. In management’s opinion, the Company will have ample liquidity to meet its various cash needs throughout 2006.</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Washington Post implemented a voluntary early retirement program to the Mailers employees in April 2006; pre-tax charges of $1.1 million will be recorded in the second quarter of 2006 in connection with this program. In April 2006, the Company announced a voluntary early retirement program being offered to a large group of exempt and Guild-covered employees at The Washington Post and Corporate; the offer includes an incentive payment, enhanced retirement benefits and subsidized retiree health insurance; the enrollment period for this program expires at the end of May 2006 and the Company will record the costs associated with this program in the second quarter of 2006. The cost of these programs will be funded by the Company’s pension plans.</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1, 2006.</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2005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April 2, 2006.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3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April 2, 2006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jc w:val="right"/>
              <w:ind w:right="9652"/>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360" w:type="dxa"/>
            <w:vAlign w:val="bottom"/>
          </w:tcPr>
          <w:p>
            <w:pPr>
              <w:spacing w:after="0"/>
              <w:rPr>
                <w:sz w:val="24"/>
                <w:szCs w:val="24"/>
                <w:color w:val="auto"/>
              </w:rPr>
            </w:pPr>
          </w:p>
        </w:tc>
        <w:tc>
          <w:tcPr>
            <w:tcW w:w="10280" w:type="dxa"/>
            <w:vAlign w:val="bottom"/>
            <w:vMerge w:val="restart"/>
          </w:tcPr>
          <w:p>
            <w:pPr>
              <w:jc w:val="right"/>
              <w:ind w:right="4732"/>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Annual Report on Form 10-K for the fiscal year ended December 28, 2003).</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2"/>
              </w:rPr>
              <w:t>By-Laws of the Company as amended and restated through September 22, 2003 (incorporated by reference to Exhibit 3.4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Current Report on Form 8-K dated September 22, 2003).</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9"/>
              </w:rPr>
              <w:t>Form of the Company’s 5.50% Notes due February 15, 2009, issued under the Indenture dated as of February 17, 1999, between the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9"/>
              </w:rPr>
              <w:t>and The First National Bank of Chicago, as Trustee (incorporated by reference to Exhibit 4.2 to the Company’s Annual Report on Form 10-K for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the fiscal year ended January 3, 1999).</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the Company’s Annual Report on Form 10-K for the fiscal year ended January 3, 1999).</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8"/>
              </w:rPr>
              <w:t>First Supplemental Indenture dated as of September 22, 2003, among WP Company LLC, the Company and Bank One, NA, as successor to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8"/>
              </w:rPr>
              <w:t>First National Bank of Chicago, as trustee, to the Indenture dated as of February 17, 1999, between The Washington Post Company and The First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National Bank of Chicago, as trustee (incorporated by reference to Exhibit 4.1 to the Company’s Current Report on Form 8-K dated September</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22, 2003).</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364-Day Credit Agreement dated as of August 10, 2005, among the Company, Citibank, N.A., JP Morgan Chase Bank, N.A., Wachovia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1"/>
              </w:rPr>
              <w:t>National Association, SunTrust Bank, The Bank of New York and PNC Bank, N.A. (incorporated by reference to Exhibit 4.1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Current Report on Form 8-K dated August 12, 2005).</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 Bank, N.A., SunTrust Bank, Bank One,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95"/>
              </w:rPr>
              <w:t>N.A., JP Morgan Chase Bank, The Bank of New York and Riggs Bank, N.A. (incorporated by reference to Exhibit 4.4 to the Company’s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Quarterly Report on Form 10-Q for the quarter ended September 29, 2002).</w:t>
            </w:r>
          </w:p>
        </w:tc>
        <w:tc>
          <w:tcPr>
            <w:tcW w:w="0" w:type="dxa"/>
            <w:vAlign w:val="bottom"/>
          </w:tcPr>
          <w:p>
            <w:pPr>
              <w:spacing w:after="0"/>
              <w:rPr>
                <w:sz w:val="1"/>
                <w:szCs w:val="1"/>
                <w:color w:val="auto"/>
              </w:rPr>
            </w:pP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8"/>
              </w:rPr>
              <w:t>Consent and Amendment No. 1 dated as of August 13, 2003, to the 5-Year Credit Agreement dated as of August 14, 2002, among the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w w:val="88"/>
              </w:rPr>
              <w:t>Citibank, N.A. and the other lenders that are parties to such Credit Agreement (incorporated by reference to Exhibit 4.3 to the Company’s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Arial" w:cs="Arial" w:eastAsia="Arial" w:hAnsi="Arial"/>
                <w:sz w:val="18"/>
                <w:szCs w:val="18"/>
                <w:color w:val="auto"/>
              </w:rPr>
              <w:t>Report on Form 8-K dated September 22, 2003).</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10.1</w:t>
            </w:r>
          </w:p>
        </w:tc>
        <w:tc>
          <w:tcPr>
            <w:tcW w:w="10500" w:type="dxa"/>
            <w:vAlign w:val="bottom"/>
            <w:gridSpan w:val="2"/>
          </w:tcPr>
          <w:p>
            <w:pPr>
              <w:ind w:left="280"/>
              <w:spacing w:after="0"/>
              <w:rPr>
                <w:sz w:val="20"/>
                <w:szCs w:val="20"/>
                <w:color w:val="auto"/>
              </w:rPr>
            </w:pPr>
            <w:r>
              <w:rPr>
                <w:rFonts w:ascii="Arial" w:cs="Arial" w:eastAsia="Arial" w:hAnsi="Arial"/>
                <w:sz w:val="18"/>
                <w:szCs w:val="18"/>
                <w:color w:val="auto"/>
                <w:w w:val="87"/>
              </w:rPr>
              <w:t>The Washington Post Company Incentive Compensation Plan as amended and restated on January 20, 2006 (incorporated by reference to Exhibit</w:t>
            </w:r>
          </w:p>
        </w:tc>
      </w:tr>
      <w:tr>
        <w:trPr>
          <w:trHeight w:val="222"/>
        </w:trPr>
        <w:tc>
          <w:tcPr>
            <w:tcW w:w="580" w:type="dxa"/>
            <w:vAlign w:val="bottom"/>
          </w:tcPr>
          <w:p>
            <w:pPr>
              <w:spacing w:after="0"/>
              <w:rPr>
                <w:sz w:val="19"/>
                <w:szCs w:val="19"/>
                <w:color w:val="auto"/>
              </w:rPr>
            </w:pPr>
          </w:p>
        </w:tc>
        <w:tc>
          <w:tcPr>
            <w:tcW w:w="10500" w:type="dxa"/>
            <w:vAlign w:val="bottom"/>
            <w:gridSpan w:val="2"/>
          </w:tcPr>
          <w:p>
            <w:pPr>
              <w:ind w:left="280"/>
              <w:spacing w:after="0"/>
              <w:rPr>
                <w:sz w:val="20"/>
                <w:szCs w:val="20"/>
                <w:color w:val="auto"/>
              </w:rPr>
            </w:pPr>
            <w:r>
              <w:rPr>
                <w:rFonts w:ascii="Arial" w:cs="Arial" w:eastAsia="Arial" w:hAnsi="Arial"/>
                <w:sz w:val="18"/>
                <w:szCs w:val="18"/>
                <w:color w:val="auto"/>
              </w:rPr>
              <w:t>10.1 to the Company’s Current Report on Form 8-K dated January 20, 2006).</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rPr>
              <w:t>11</w:t>
            </w:r>
          </w:p>
        </w:tc>
        <w:tc>
          <w:tcPr>
            <w:tcW w:w="10500" w:type="dxa"/>
            <w:vAlign w:val="bottom"/>
            <w:gridSpan w:val="2"/>
          </w:tcPr>
          <w:p>
            <w:pPr>
              <w:ind w:left="280"/>
              <w:spacing w:after="0"/>
              <w:rPr>
                <w:sz w:val="20"/>
                <w:szCs w:val="20"/>
                <w:color w:val="auto"/>
              </w:rPr>
            </w:pPr>
            <w:r>
              <w:rPr>
                <w:rFonts w:ascii="Arial" w:cs="Arial" w:eastAsia="Arial" w:hAnsi="Arial"/>
                <w:sz w:val="18"/>
                <w:szCs w:val="18"/>
                <w:color w:val="auto"/>
              </w:rPr>
              <w:t>Calculation of earnings per share of common stock.</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31.1</w:t>
            </w:r>
          </w:p>
        </w:tc>
        <w:tc>
          <w:tcPr>
            <w:tcW w:w="1050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31.2</w:t>
            </w:r>
          </w:p>
        </w:tc>
        <w:tc>
          <w:tcPr>
            <w:tcW w:w="1050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32.1</w:t>
            </w:r>
          </w:p>
        </w:tc>
        <w:tc>
          <w:tcPr>
            <w:tcW w:w="1240" w:type="dxa"/>
            <w:vAlign w:val="bottom"/>
          </w:tcPr>
          <w:p>
            <w:pPr>
              <w:ind w:left="28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w:t>
            </w:r>
          </w:p>
        </w:tc>
      </w:tr>
      <w:tr>
        <w:trPr>
          <w:trHeight w:val="324"/>
        </w:trPr>
        <w:tc>
          <w:tcPr>
            <w:tcW w:w="580" w:type="dxa"/>
            <w:vAlign w:val="bottom"/>
          </w:tcPr>
          <w:p>
            <w:pPr>
              <w:jc w:val="right"/>
              <w:ind w:right="192"/>
              <w:spacing w:after="0"/>
              <w:rPr>
                <w:sz w:val="20"/>
                <w:szCs w:val="20"/>
                <w:color w:val="auto"/>
              </w:rPr>
            </w:pPr>
            <w:r>
              <w:rPr>
                <w:rFonts w:ascii="Arial" w:cs="Arial" w:eastAsia="Arial" w:hAnsi="Arial"/>
                <w:sz w:val="18"/>
                <w:szCs w:val="18"/>
                <w:color w:val="auto"/>
                <w:w w:val="79"/>
              </w:rPr>
              <w:t>32.2</w:t>
            </w:r>
          </w:p>
        </w:tc>
        <w:tc>
          <w:tcPr>
            <w:tcW w:w="1240" w:type="dxa"/>
            <w:vAlign w:val="bottom"/>
          </w:tcPr>
          <w:p>
            <w:pPr>
              <w:ind w:left="28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w:t>
            </w:r>
          </w:p>
        </w:tc>
      </w:tr>
      <w:tr>
        <w:trPr>
          <w:trHeight w:val="365"/>
        </w:trPr>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jc w:val="right"/>
              <w:ind w:right="5252"/>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140"/>
          </w:cols>
          <w:pgMar w:left="24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84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2006</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9, 2006</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 SHARE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500" w:type="dxa"/>
            <w:vAlign w:val="bottom"/>
            <w:gridSpan w:val="6"/>
          </w:tcPr>
          <w:p>
            <w:pPr>
              <w:ind w:left="80"/>
              <w:spacing w:after="0"/>
              <w:rPr>
                <w:sz w:val="20"/>
                <w:szCs w:val="20"/>
                <w:color w:val="auto"/>
              </w:rPr>
            </w:pPr>
            <w:r>
              <w:rPr>
                <w:rFonts w:ascii="Arial" w:cs="Arial" w:eastAsia="Arial" w:hAnsi="Arial"/>
                <w:sz w:val="14"/>
                <w:szCs w:val="14"/>
                <w:b w:val="1"/>
                <w:bCs w:val="1"/>
                <w:color w:val="auto"/>
                <w:w w:val="93"/>
              </w:rPr>
              <w:t>Thirteen Weeks Ended</w:t>
            </w:r>
          </w:p>
        </w:tc>
      </w:tr>
      <w:tr>
        <w:trPr>
          <w:trHeight w:val="129"/>
        </w:trPr>
        <w:tc>
          <w:tcPr>
            <w:tcW w:w="20" w:type="dxa"/>
            <w:vAlign w:val="bottom"/>
          </w:tcPr>
          <w:p>
            <w:pPr>
              <w:spacing w:after="0"/>
              <w:rPr>
                <w:sz w:val="11"/>
                <w:szCs w:val="11"/>
                <w:color w:val="auto"/>
              </w:rPr>
            </w:pPr>
          </w:p>
        </w:tc>
        <w:tc>
          <w:tcPr>
            <w:tcW w:w="9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April 2,</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April 3,</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Class A and Class B common stock outstanding at beginning of period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Issuance of shares of Class B common stock (weighted)</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Adjustment to reflect dilution from common stock and restricted stock equivalents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0" w:type="dxa"/>
            <w:vAlign w:val="bottom"/>
          </w:tcPr>
          <w:p>
            <w:pPr>
              <w:spacing w:after="0"/>
              <w:rPr>
                <w:sz w:val="18"/>
                <w:szCs w:val="18"/>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76,383</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66,100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r>
      <w:tr>
        <w:trPr>
          <w:trHeight w:val="222"/>
        </w:trPr>
        <w:tc>
          <w:tcPr>
            <w:tcW w:w="99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9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100" w:firstLine="8"/>
        <w:spacing w:after="0" w:line="332" w:lineRule="auto"/>
        <w:tabs>
          <w:tab w:leader="none" w:pos="307"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0" w:firstLine="8"/>
        <w:spacing w:after="0" w:line="268" w:lineRule="auto"/>
        <w:tabs>
          <w:tab w:leader="none" w:pos="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right="240" w:firstLine="8"/>
        <w:spacing w:after="0" w:line="259"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3"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480" w:right="280" w:hanging="567"/>
        <w:spacing w:after="0" w:line="250"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480" w:right="420" w:hanging="567"/>
        <w:spacing w:after="0" w:line="300"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5"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8"/>
          <w:szCs w:val="18"/>
          <w:color w:val="auto"/>
        </w:rPr>
      </w:pPr>
    </w:p>
    <w:p>
      <w:pPr>
        <w:ind w:right="720" w:firstLine="8"/>
        <w:spacing w:after="0" w:line="332" w:lineRule="auto"/>
        <w:tabs>
          <w:tab w:leader="none" w:pos="30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286"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right="320" w:hanging="567"/>
        <w:spacing w:after="0" w:line="261"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2006</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9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100" w:firstLine="8"/>
        <w:spacing w:after="0" w:line="332" w:lineRule="auto"/>
        <w:tabs>
          <w:tab w:leader="none" w:pos="307"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00" w:firstLine="8"/>
        <w:spacing w:after="0" w:line="268"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right="240" w:firstLine="8"/>
        <w:spacing w:after="0" w:line="259"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3"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480" w:right="280" w:hanging="567"/>
        <w:spacing w:after="0" w:line="250"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480" w:right="420" w:hanging="567"/>
        <w:spacing w:after="0" w:line="300" w:lineRule="auto"/>
        <w:tabs>
          <w:tab w:leader="none" w:pos="14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5"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8"/>
          <w:szCs w:val="18"/>
          <w:color w:val="auto"/>
        </w:rPr>
      </w:pPr>
    </w:p>
    <w:p>
      <w:pPr>
        <w:ind w:right="720" w:firstLine="8"/>
        <w:spacing w:after="0" w:line="332" w:lineRule="auto"/>
        <w:tabs>
          <w:tab w:leader="none" w:pos="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286"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80" w:right="320" w:hanging="567"/>
        <w:spacing w:after="0" w:line="261"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2006</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April 2, 2006 (the “Report”), I, Donald E. Graham, Chief Executive Officer (principal executive officer) of the Company, certify, pursuant to 18 U.S.C. Section 1350, as adopted pursuant to Section 906 of the Sarbanes-Oxley Act of 2002, that:</w:t>
      </w:r>
    </w:p>
    <w:p>
      <w:pPr>
        <w:spacing w:after="0" w:line="5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2006</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April 2, 2006 (the “Report”), I, John B. Morse, Jr., Vice President-Finance (principal financial officer) of the Company, certify, pursuant to 18 U.S.C. Section 1350, as adopted pursuant to Section 906 of the Sarbanes-Oxley Act of 2002, that:</w:t>
      </w:r>
    </w:p>
    <w:p>
      <w:pPr>
        <w:spacing w:after="0" w:line="5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9,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2019-12-13T08:06:34Z</dcterms:created>
  <dcterms:modified xsi:type="dcterms:W3CDTF">2019-12-13T08:06:34Z</dcterms:modified>
</cp:coreProperties>
</file>