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940" w:val="left"/>
          <w:tab w:leader="none" w:pos="5900" w:val="left"/>
        </w:tabs>
        <w:rPr>
          <w:sz w:val="20"/>
          <w:szCs w:val="20"/>
          <w:color w:val="auto"/>
        </w:rPr>
      </w:pPr>
      <w:r>
        <w:rPr>
          <w:rFonts w:ascii="Arial" w:cs="Arial" w:eastAsia="Arial" w:hAnsi="Arial"/>
          <w:sz w:val="18"/>
          <w:szCs w:val="18"/>
          <w:color w:val="auto"/>
        </w:rPr>
        <w:t>CUSIP NO. 939640108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6)*</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Class B Common Stock, par value $1.00</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939640108</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December 31, 2006</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CUSIP NO. 939640108</w:t>
            </w:r>
          </w:p>
        </w:tc>
        <w:tc>
          <w:tcPr>
            <w:tcW w:w="1540" w:type="dxa"/>
            <w:vAlign w:val="bottom"/>
          </w:tcPr>
          <w:p>
            <w:pPr>
              <w:ind w:left="640"/>
              <w:spacing w:after="0"/>
              <w:rPr>
                <w:sz w:val="20"/>
                <w:szCs w:val="20"/>
                <w:color w:val="auto"/>
              </w:rPr>
            </w:pPr>
            <w:r>
              <w:rPr>
                <w:rFonts w:ascii="Arial" w:cs="Arial" w:eastAsia="Arial" w:hAnsi="Arial"/>
                <w:sz w:val="18"/>
                <w:szCs w:val="18"/>
                <w:color w:val="auto"/>
              </w:rPr>
              <w:t>13G</w:t>
            </w:r>
          </w:p>
        </w:tc>
        <w:tc>
          <w:tcPr>
            <w:tcW w:w="5000" w:type="dxa"/>
            <w:vAlign w:val="bottom"/>
          </w:tcPr>
          <w:p>
            <w:pPr>
              <w:ind w:left="2060"/>
              <w:spacing w:after="0"/>
              <w:rPr>
                <w:sz w:val="20"/>
                <w:szCs w:val="20"/>
                <w:color w:val="auto"/>
              </w:rPr>
            </w:pPr>
            <w:r>
              <w:rPr>
                <w:rFonts w:ascii="Arial" w:cs="Arial" w:eastAsia="Arial" w:hAnsi="Arial"/>
                <w:sz w:val="18"/>
                <w:szCs w:val="18"/>
                <w:color w:val="auto"/>
              </w:rPr>
              <w:t>PAGE 2 OF 7</w:t>
            </w:r>
          </w:p>
        </w:tc>
      </w:tr>
      <w:tr>
        <w:trPr>
          <w:trHeight w:val="696"/>
        </w:trPr>
        <w:tc>
          <w:tcPr>
            <w:tcW w:w="2320" w:type="dxa"/>
            <w:vAlign w:val="bottom"/>
          </w:tcPr>
          <w:p>
            <w:pPr>
              <w:spacing w:after="0"/>
              <w:rPr>
                <w:sz w:val="20"/>
                <w:szCs w:val="20"/>
                <w:color w:val="auto"/>
              </w:rPr>
            </w:pPr>
            <w:r>
              <w:rPr>
                <w:rFonts w:ascii="Arial" w:cs="Arial" w:eastAsia="Arial" w:hAnsi="Arial"/>
                <w:sz w:val="22"/>
                <w:szCs w:val="22"/>
                <w:color w:val="auto"/>
              </w:rPr>
              <w:t>1.</w:t>
            </w: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3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3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PERSONS (ENTITIES ONLY).</w:t>
            </w:r>
          </w:p>
        </w:tc>
      </w:tr>
      <w:tr>
        <w:trPr>
          <w:trHeight w:val="513"/>
        </w:trPr>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Franklin Mutual Advisers, LLC (22-3463202)</w:t>
            </w:r>
          </w:p>
        </w:tc>
      </w:tr>
      <w:tr>
        <w:trPr>
          <w:trHeight w:val="468"/>
        </w:trPr>
        <w:tc>
          <w:tcPr>
            <w:tcW w:w="2320" w:type="dxa"/>
            <w:vAlign w:val="bottom"/>
          </w:tcPr>
          <w:p>
            <w:pPr>
              <w:spacing w:after="0"/>
              <w:rPr>
                <w:sz w:val="20"/>
                <w:szCs w:val="20"/>
                <w:color w:val="auto"/>
              </w:rPr>
            </w:pPr>
            <w:r>
              <w:rPr>
                <w:rFonts w:ascii="Arial" w:cs="Arial" w:eastAsia="Arial" w:hAnsi="Arial"/>
                <w:sz w:val="22"/>
                <w:szCs w:val="22"/>
                <w:color w:val="auto"/>
              </w:rPr>
              <w:t>2.</w:t>
            </w: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CHECK THE APPROPRIATE BOX IF A</w:t>
            </w:r>
          </w:p>
        </w:tc>
      </w:tr>
      <w:tr>
        <w:trPr>
          <w:trHeight w:val="275"/>
        </w:trPr>
        <w:tc>
          <w:tcPr>
            <w:tcW w:w="23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MEMBER OF A GROUP</w:t>
            </w:r>
          </w:p>
        </w:tc>
      </w:tr>
      <w:tr>
        <w:trPr>
          <w:trHeight w:val="495"/>
        </w:trPr>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(a)</w:t>
            </w:r>
          </w:p>
        </w:tc>
      </w:tr>
      <w:tr>
        <w:trPr>
          <w:trHeight w:val="275"/>
        </w:trPr>
        <w:tc>
          <w:tcPr>
            <w:tcW w:w="23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(b) X</w:t>
            </w:r>
          </w:p>
        </w:tc>
      </w:tr>
      <w:tr>
        <w:trPr>
          <w:trHeight w:val="500"/>
        </w:trPr>
        <w:tc>
          <w:tcPr>
            <w:tcW w:w="2320" w:type="dxa"/>
            <w:vAlign w:val="bottom"/>
          </w:tcPr>
          <w:p>
            <w:pPr>
              <w:spacing w:after="0"/>
              <w:rPr>
                <w:sz w:val="20"/>
                <w:szCs w:val="20"/>
                <w:color w:val="auto"/>
              </w:rPr>
            </w:pPr>
            <w:r>
              <w:rPr>
                <w:rFonts w:ascii="Arial" w:cs="Arial" w:eastAsia="Arial" w:hAnsi="Arial"/>
                <w:sz w:val="22"/>
                <w:szCs w:val="22"/>
                <w:color w:val="auto"/>
              </w:rPr>
              <w:t>3.</w:t>
            </w: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SEC USE ONLY</w:t>
            </w:r>
          </w:p>
        </w:tc>
      </w:tr>
      <w:tr>
        <w:trPr>
          <w:trHeight w:val="486"/>
        </w:trPr>
        <w:tc>
          <w:tcPr>
            <w:tcW w:w="2320" w:type="dxa"/>
            <w:vAlign w:val="bottom"/>
          </w:tcPr>
          <w:p>
            <w:pPr>
              <w:spacing w:after="0"/>
              <w:rPr>
                <w:sz w:val="20"/>
                <w:szCs w:val="20"/>
                <w:color w:val="auto"/>
              </w:rPr>
            </w:pPr>
            <w:r>
              <w:rPr>
                <w:rFonts w:ascii="Arial" w:cs="Arial" w:eastAsia="Arial" w:hAnsi="Arial"/>
                <w:sz w:val="22"/>
                <w:szCs w:val="22"/>
                <w:color w:val="auto"/>
              </w:rPr>
              <w:t>4.</w:t>
            </w: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w w:val="94"/>
              </w:rPr>
              <w:t>CITIZENSHIP OR PLACE OF ORGANIZATION</w:t>
            </w:r>
          </w:p>
        </w:tc>
      </w:tr>
      <w:tr>
        <w:trPr>
          <w:trHeight w:val="500"/>
        </w:trPr>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0" w:type="dxa"/>
            <w:vAlign w:val="bottom"/>
          </w:tcPr>
          <w:p>
            <w:pPr>
              <w:ind w:left="60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80" w:type="dxa"/>
            <w:vAlign w:val="bottom"/>
          </w:tcPr>
          <w:p>
            <w:pPr>
              <w:ind w:left="2960"/>
              <w:spacing w:after="0"/>
              <w:rPr>
                <w:sz w:val="20"/>
                <w:szCs w:val="20"/>
                <w:color w:val="auto"/>
              </w:rPr>
            </w:pPr>
            <w:r>
              <w:rPr>
                <w:rFonts w:ascii="Arial" w:cs="Arial" w:eastAsia="Arial" w:hAnsi="Arial"/>
                <w:sz w:val="22"/>
                <w:szCs w:val="22"/>
                <w:color w:val="auto"/>
              </w:rPr>
              <w:t>5.</w:t>
            </w:r>
          </w:p>
        </w:tc>
        <w:tc>
          <w:tcPr>
            <w:tcW w:w="4860" w:type="dxa"/>
            <w:vAlign w:val="bottom"/>
          </w:tcPr>
          <w:p>
            <w:pPr>
              <w:ind w:left="2140"/>
              <w:spacing w:after="0"/>
              <w:rPr>
                <w:sz w:val="20"/>
                <w:szCs w:val="20"/>
                <w:color w:val="auto"/>
              </w:rPr>
            </w:pPr>
            <w:r>
              <w:rPr>
                <w:rFonts w:ascii="Arial" w:cs="Arial" w:eastAsia="Arial" w:hAnsi="Arial"/>
                <w:sz w:val="22"/>
                <w:szCs w:val="22"/>
                <w:color w:val="auto"/>
              </w:rPr>
              <w:t>SOLE VOTING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(See Item 4)</w:t>
            </w:r>
          </w:p>
        </w:tc>
      </w:tr>
      <w:tr>
        <w:trPr>
          <w:trHeight w:val="500"/>
        </w:trPr>
        <w:tc>
          <w:tcPr>
            <w:tcW w:w="3780" w:type="dxa"/>
            <w:vAlign w:val="bottom"/>
          </w:tcPr>
          <w:p>
            <w:pPr>
              <w:ind w:left="2960"/>
              <w:spacing w:after="0"/>
              <w:rPr>
                <w:sz w:val="20"/>
                <w:szCs w:val="20"/>
                <w:color w:val="auto"/>
              </w:rPr>
            </w:pPr>
            <w:r>
              <w:rPr>
                <w:rFonts w:ascii="Arial" w:cs="Arial" w:eastAsia="Arial" w:hAnsi="Arial"/>
                <w:sz w:val="22"/>
                <w:szCs w:val="22"/>
                <w:color w:val="auto"/>
              </w:rPr>
              <w:t>6.</w:t>
            </w:r>
          </w:p>
        </w:tc>
        <w:tc>
          <w:tcPr>
            <w:tcW w:w="4860" w:type="dxa"/>
            <w:vAlign w:val="bottom"/>
          </w:tcPr>
          <w:p>
            <w:pPr>
              <w:ind w:left="2140"/>
              <w:spacing w:after="0"/>
              <w:rPr>
                <w:sz w:val="20"/>
                <w:szCs w:val="20"/>
                <w:color w:val="auto"/>
              </w:rPr>
            </w:pPr>
            <w:r>
              <w:rPr>
                <w:rFonts w:ascii="Arial" w:cs="Arial" w:eastAsia="Arial" w:hAnsi="Arial"/>
                <w:sz w:val="22"/>
                <w:szCs w:val="22"/>
                <w:color w:val="auto"/>
                <w:w w:val="99"/>
              </w:rPr>
              <w:t>SHARED VOTING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0</w:t>
            </w:r>
          </w:p>
        </w:tc>
      </w:tr>
      <w:tr>
        <w:trPr>
          <w:trHeight w:val="500"/>
        </w:trPr>
        <w:tc>
          <w:tcPr>
            <w:tcW w:w="3780" w:type="dxa"/>
            <w:vAlign w:val="bottom"/>
          </w:tcPr>
          <w:p>
            <w:pPr>
              <w:ind w:left="2960"/>
              <w:spacing w:after="0"/>
              <w:rPr>
                <w:sz w:val="20"/>
                <w:szCs w:val="20"/>
                <w:color w:val="auto"/>
              </w:rPr>
            </w:pPr>
            <w:r>
              <w:rPr>
                <w:rFonts w:ascii="Arial" w:cs="Arial" w:eastAsia="Arial" w:hAnsi="Arial"/>
                <w:sz w:val="22"/>
                <w:szCs w:val="22"/>
                <w:color w:val="auto"/>
              </w:rPr>
              <w:t>7.</w:t>
            </w:r>
          </w:p>
        </w:tc>
        <w:tc>
          <w:tcPr>
            <w:tcW w:w="4860" w:type="dxa"/>
            <w:vAlign w:val="bottom"/>
          </w:tcPr>
          <w:p>
            <w:pPr>
              <w:ind w:left="2140"/>
              <w:spacing w:after="0"/>
              <w:rPr>
                <w:sz w:val="20"/>
                <w:szCs w:val="20"/>
                <w:color w:val="auto"/>
              </w:rPr>
            </w:pPr>
            <w:r>
              <w:rPr>
                <w:rFonts w:ascii="Arial" w:cs="Arial" w:eastAsia="Arial" w:hAnsi="Arial"/>
                <w:sz w:val="22"/>
                <w:szCs w:val="22"/>
                <w:color w:val="auto"/>
                <w:w w:val="92"/>
              </w:rPr>
              <w:t>SOLE DISPOSITIVE POWER</w:t>
            </w:r>
          </w:p>
        </w:tc>
      </w:tr>
      <w:tr>
        <w:trPr>
          <w:trHeight w:val="527"/>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(See Item 4)</w:t>
            </w:r>
          </w:p>
        </w:tc>
      </w:tr>
      <w:tr>
        <w:trPr>
          <w:trHeight w:val="468"/>
        </w:trPr>
        <w:tc>
          <w:tcPr>
            <w:tcW w:w="3780" w:type="dxa"/>
            <w:vAlign w:val="bottom"/>
          </w:tcPr>
          <w:p>
            <w:pPr>
              <w:ind w:left="2960"/>
              <w:spacing w:after="0"/>
              <w:rPr>
                <w:sz w:val="20"/>
                <w:szCs w:val="20"/>
                <w:color w:val="auto"/>
              </w:rPr>
            </w:pPr>
            <w:r>
              <w:rPr>
                <w:rFonts w:ascii="Arial" w:cs="Arial" w:eastAsia="Arial" w:hAnsi="Arial"/>
                <w:sz w:val="22"/>
                <w:szCs w:val="22"/>
                <w:color w:val="auto"/>
              </w:rPr>
              <w:t>8.</w:t>
            </w:r>
          </w:p>
        </w:tc>
        <w:tc>
          <w:tcPr>
            <w:tcW w:w="4860" w:type="dxa"/>
            <w:vAlign w:val="bottom"/>
          </w:tcPr>
          <w:p>
            <w:pPr>
              <w:ind w:left="2140"/>
              <w:spacing w:after="0"/>
              <w:rPr>
                <w:sz w:val="20"/>
                <w:szCs w:val="20"/>
                <w:color w:val="auto"/>
              </w:rPr>
            </w:pPr>
            <w:r>
              <w:rPr>
                <w:rFonts w:ascii="Arial" w:cs="Arial" w:eastAsia="Arial" w:hAnsi="Arial"/>
                <w:sz w:val="22"/>
                <w:szCs w:val="22"/>
                <w:color w:val="auto"/>
              </w:rPr>
              <w:t>SHARED DISPOSITIVE</w:t>
            </w:r>
          </w:p>
        </w:tc>
      </w:tr>
      <w:tr>
        <w:trPr>
          <w:trHeight w:val="275"/>
        </w:trPr>
        <w:tc>
          <w:tcPr>
            <w:tcW w:w="3780" w:type="dxa"/>
            <w:vAlign w:val="bottom"/>
          </w:tcPr>
          <w:p>
            <w:pPr>
              <w:spacing w:after="0"/>
              <w:rPr>
                <w:sz w:val="23"/>
                <w:szCs w:val="23"/>
                <w:color w:val="auto"/>
              </w:rPr>
            </w:pPr>
          </w:p>
        </w:tc>
        <w:tc>
          <w:tcPr>
            <w:tcW w:w="4860" w:type="dxa"/>
            <w:vAlign w:val="bottom"/>
          </w:tcPr>
          <w:p>
            <w:pPr>
              <w:ind w:left="2140"/>
              <w:spacing w:after="0"/>
              <w:rPr>
                <w:sz w:val="20"/>
                <w:szCs w:val="20"/>
                <w:color w:val="auto"/>
              </w:rPr>
            </w:pPr>
            <w:r>
              <w:rPr>
                <w:rFonts w:ascii="Arial" w:cs="Arial" w:eastAsia="Arial" w:hAnsi="Arial"/>
                <w:sz w:val="22"/>
                <w:szCs w:val="22"/>
                <w:color w:val="auto"/>
              </w:rPr>
              <w:t>POWER</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0</w:t>
            </w:r>
          </w:p>
        </w:tc>
      </w:tr>
      <w:tr>
        <w:trPr>
          <w:trHeight w:val="468"/>
        </w:trPr>
        <w:tc>
          <w:tcPr>
            <w:tcW w:w="3780" w:type="dxa"/>
            <w:vAlign w:val="bottom"/>
          </w:tcPr>
          <w:p>
            <w:pPr>
              <w:spacing w:after="0"/>
              <w:rPr>
                <w:sz w:val="20"/>
                <w:szCs w:val="20"/>
                <w:color w:val="auto"/>
              </w:rPr>
            </w:pPr>
            <w:r>
              <w:rPr>
                <w:rFonts w:ascii="Arial" w:cs="Arial" w:eastAsia="Arial" w:hAnsi="Arial"/>
                <w:sz w:val="22"/>
                <w:szCs w:val="22"/>
                <w:color w:val="auto"/>
              </w:rPr>
              <w:t>9.</w:t>
            </w:r>
          </w:p>
        </w:tc>
        <w:tc>
          <w:tcPr>
            <w:tcW w:w="4860" w:type="dxa"/>
            <w:vAlign w:val="bottom"/>
          </w:tcPr>
          <w:p>
            <w:pPr>
              <w:ind w:left="68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w w:val="98"/>
              </w:rPr>
              <w:t>OWNED BY EACH REPORTING PERSON</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325,719</w:t>
            </w:r>
          </w:p>
        </w:tc>
      </w:tr>
      <w:tr>
        <w:trPr>
          <w:trHeight w:val="468"/>
        </w:trPr>
        <w:tc>
          <w:tcPr>
            <w:tcW w:w="3780" w:type="dxa"/>
            <w:vAlign w:val="bottom"/>
          </w:tcPr>
          <w:p>
            <w:pPr>
              <w:spacing w:after="0"/>
              <w:rPr>
                <w:sz w:val="20"/>
                <w:szCs w:val="20"/>
                <w:color w:val="auto"/>
              </w:rPr>
            </w:pPr>
            <w:r>
              <w:rPr>
                <w:rFonts w:ascii="Arial" w:cs="Arial" w:eastAsia="Arial" w:hAnsi="Arial"/>
                <w:sz w:val="22"/>
                <w:szCs w:val="22"/>
                <w:color w:val="auto"/>
              </w:rPr>
              <w:t>10.</w:t>
            </w:r>
          </w:p>
        </w:tc>
        <w:tc>
          <w:tcPr>
            <w:tcW w:w="4860" w:type="dxa"/>
            <w:vAlign w:val="bottom"/>
          </w:tcPr>
          <w:p>
            <w:pPr>
              <w:ind w:left="680"/>
              <w:spacing w:after="0"/>
              <w:rPr>
                <w:sz w:val="20"/>
                <w:szCs w:val="20"/>
                <w:color w:val="auto"/>
              </w:rPr>
            </w:pPr>
            <w:r>
              <w:rPr>
                <w:rFonts w:ascii="Arial" w:cs="Arial" w:eastAsia="Arial" w:hAnsi="Arial"/>
                <w:sz w:val="22"/>
                <w:szCs w:val="22"/>
                <w:color w:val="auto"/>
                <w:w w:val="97"/>
              </w:rPr>
              <w:t>CHECK IF THE AGGREGATE AMOUNT IN</w:t>
            </w:r>
          </w:p>
        </w:tc>
      </w:tr>
      <w:tr>
        <w:trPr>
          <w:trHeight w:val="257"/>
        </w:trPr>
        <w:tc>
          <w:tcPr>
            <w:tcW w:w="3780" w:type="dxa"/>
            <w:vAlign w:val="bottom"/>
          </w:tcPr>
          <w:p>
            <w:pPr>
              <w:spacing w:after="0"/>
              <w:rPr>
                <w:sz w:val="22"/>
                <w:szCs w:val="22"/>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ROW (9) EXCLUDES</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CERTAIN SHARES o</w:t>
            </w:r>
          </w:p>
        </w:tc>
      </w:tr>
      <w:tr>
        <w:trPr>
          <w:trHeight w:val="711"/>
        </w:trPr>
        <w:tc>
          <w:tcPr>
            <w:tcW w:w="3780" w:type="dxa"/>
            <w:vAlign w:val="bottom"/>
          </w:tcPr>
          <w:p>
            <w:pPr>
              <w:spacing w:after="0"/>
              <w:rPr>
                <w:sz w:val="20"/>
                <w:szCs w:val="20"/>
                <w:color w:val="auto"/>
              </w:rPr>
            </w:pPr>
            <w:r>
              <w:rPr>
                <w:rFonts w:ascii="Arial" w:cs="Arial" w:eastAsia="Arial" w:hAnsi="Arial"/>
                <w:sz w:val="22"/>
                <w:szCs w:val="22"/>
                <w:color w:val="auto"/>
              </w:rPr>
              <w:t>11.</w:t>
            </w:r>
          </w:p>
        </w:tc>
        <w:tc>
          <w:tcPr>
            <w:tcW w:w="4860" w:type="dxa"/>
            <w:vAlign w:val="bottom"/>
          </w:tcPr>
          <w:p>
            <w:pPr>
              <w:ind w:left="680"/>
              <w:spacing w:after="0"/>
              <w:rPr>
                <w:sz w:val="20"/>
                <w:szCs w:val="20"/>
                <w:color w:val="auto"/>
              </w:rPr>
            </w:pPr>
            <w:r>
              <w:rPr>
                <w:rFonts w:ascii="Arial" w:cs="Arial" w:eastAsia="Arial" w:hAnsi="Arial"/>
                <w:sz w:val="22"/>
                <w:szCs w:val="22"/>
                <w:color w:val="auto"/>
                <w:w w:val="97"/>
              </w:rPr>
              <w:t>PERCENT OF CLASS REPRESENTED BY</w:t>
            </w:r>
          </w:p>
        </w:tc>
      </w:tr>
      <w:tr>
        <w:trPr>
          <w:trHeight w:val="275"/>
        </w:trPr>
        <w:tc>
          <w:tcPr>
            <w:tcW w:w="3780" w:type="dxa"/>
            <w:vAlign w:val="bottom"/>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AMOUNT IN ROW (9)</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4.1%</w:t>
            </w:r>
          </w:p>
        </w:tc>
      </w:tr>
      <w:tr>
        <w:trPr>
          <w:trHeight w:val="500"/>
        </w:trPr>
        <w:tc>
          <w:tcPr>
            <w:tcW w:w="3780" w:type="dxa"/>
            <w:vAlign w:val="bottom"/>
          </w:tcPr>
          <w:p>
            <w:pPr>
              <w:spacing w:after="0"/>
              <w:rPr>
                <w:sz w:val="20"/>
                <w:szCs w:val="20"/>
                <w:color w:val="auto"/>
              </w:rPr>
            </w:pPr>
            <w:r>
              <w:rPr>
                <w:rFonts w:ascii="Arial" w:cs="Arial" w:eastAsia="Arial" w:hAnsi="Arial"/>
                <w:sz w:val="22"/>
                <w:szCs w:val="22"/>
                <w:color w:val="auto"/>
              </w:rPr>
              <w:t>12.</w:t>
            </w:r>
          </w:p>
        </w:tc>
        <w:tc>
          <w:tcPr>
            <w:tcW w:w="4860" w:type="dxa"/>
            <w:vAlign w:val="bottom"/>
          </w:tcPr>
          <w:p>
            <w:pPr>
              <w:ind w:left="680"/>
              <w:spacing w:after="0"/>
              <w:rPr>
                <w:sz w:val="20"/>
                <w:szCs w:val="20"/>
                <w:color w:val="auto"/>
              </w:rPr>
            </w:pPr>
            <w:r>
              <w:rPr>
                <w:rFonts w:ascii="Arial" w:cs="Arial" w:eastAsia="Arial" w:hAnsi="Arial"/>
                <w:sz w:val="22"/>
                <w:szCs w:val="22"/>
                <w:color w:val="auto"/>
              </w:rPr>
              <w:t>TYPE OF REPORTING PERSON</w:t>
            </w:r>
          </w:p>
        </w:tc>
      </w:tr>
      <w:tr>
        <w:trPr>
          <w:trHeight w:val="500"/>
        </w:trPr>
        <w:tc>
          <w:tcPr>
            <w:tcW w:w="3780" w:type="dxa"/>
            <w:vAlign w:val="bottom"/>
          </w:tcPr>
          <w:p>
            <w:pPr>
              <w:spacing w:after="0"/>
              <w:rPr>
                <w:sz w:val="24"/>
                <w:szCs w:val="24"/>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rPr>
              <w:t>IA (See Item 4)</w:t>
            </w:r>
          </w:p>
        </w:tc>
      </w:tr>
    </w:tbl>
    <w:p>
      <w:pPr>
        <w:sectPr>
          <w:pgSz w:w="11900" w:h="16838" w:orient="portrait"/>
          <w:cols w:equalWidth="0" w:num="1">
            <w:col w:w="10219"/>
          </w:cols>
          <w:pgMar w:left="240" w:top="131" w:right="1440" w:bottom="1440" w:gutter="0" w:footer="0" w:header="0"/>
        </w:sectPr>
      </w:pPr>
    </w:p>
    <w:bookmarkStart w:id="2" w:name="page3"/>
    <w:bookmarkEnd w:id="2"/>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 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3 OF 7</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Name of Issuer</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The Washington Post Company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Issuer's Principal Executive Offices</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1150 15th Street, N.W.</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Washington, DC 20071</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Name of Person Filing</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Franklin Mutual Advisers, LLC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101 John F. Kennedy Parkway</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Short Hills, NJ 07078</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Citizenship</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Delaware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 Title of Class of Securities</w:t>
      </w:r>
    </w:p>
    <w:p>
      <w:pPr>
        <w:spacing w:after="0" w:line="247" w:lineRule="exact"/>
        <w:rPr>
          <w:sz w:val="20"/>
          <w:szCs w:val="20"/>
          <w:color w:val="auto"/>
        </w:rPr>
      </w:pPr>
    </w:p>
    <w:p>
      <w:pPr>
        <w:jc w:val="right"/>
        <w:ind w:right="2259"/>
        <w:spacing w:after="0"/>
        <w:rPr>
          <w:sz w:val="20"/>
          <w:szCs w:val="20"/>
          <w:color w:val="auto"/>
        </w:rPr>
      </w:pPr>
      <w:r>
        <w:rPr>
          <w:rFonts w:ascii="Arial" w:cs="Arial" w:eastAsia="Arial" w:hAnsi="Arial"/>
          <w:sz w:val="22"/>
          <w:szCs w:val="22"/>
          <w:color w:val="auto"/>
        </w:rPr>
        <w:t>Class B Common Stock, par value $1.00</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 CUSIP Number</w:t>
      </w: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939640108</w:t>
      </w:r>
    </w:p>
    <w:p>
      <w:pPr>
        <w:sectPr>
          <w:pgSz w:w="11900" w:h="16838" w:orient="portrait"/>
          <w:cols w:equalWidth="0" w:num="1">
            <w:col w:w="10219"/>
          </w:cols>
          <w:pgMar w:left="240" w:top="118" w:right="1440" w:bottom="1440" w:gutter="0" w:footer="0" w:header="0"/>
        </w:sectPr>
      </w:pPr>
    </w:p>
    <w:bookmarkStart w:id="3" w:name="page4"/>
    <w:bookmarkEnd w:id="3"/>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 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4 OF 7</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Item 3. If this statement is filed pursuant to §§240.13d-1(b) or 240.13d-2(b) or (c), check whether the person filing is a:</w:t>
      </w:r>
    </w:p>
    <w:p>
      <w:pPr>
        <w:spacing w:after="0" w:line="24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Broker or dealer registered under section 15 of the Act (15 U.S.C. 78o).</w:t>
      </w:r>
    </w:p>
    <w:p>
      <w:pPr>
        <w:spacing w:after="0" w:line="8" w:lineRule="exact"/>
        <w:rPr>
          <w:rFonts w:ascii="Arial" w:cs="Arial" w:eastAsia="Arial" w:hAnsi="Arial"/>
          <w:sz w:val="22"/>
          <w:szCs w:val="22"/>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Bank as defined in section 3(a)(6) of the Act (15 U.S.C. 78c).</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Insurance company as defined in section 3(a)(19) of the Act (15 U.S.C. 78c).</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Investment company registered under section 8 of the Investment Company Act of 1940 (15 U.S.C 80a-8).</w:t>
      </w:r>
    </w:p>
    <w:p>
      <w:pPr>
        <w:spacing w:after="0" w:line="1" w:lineRule="exact"/>
        <w:rPr>
          <w:rFonts w:ascii="Arial" w:cs="Arial" w:eastAsia="Arial" w:hAnsi="Arial"/>
          <w:sz w:val="21"/>
          <w:szCs w:val="21"/>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An employee benefit plan or endowment fund in accordance with §240.13d-1(b)(1)(ii)(F);</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parent holding company or control person in accordance with §240.13d-1(b)(1)(ii)(G);</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A savings associations as defined in Section 3(b) of the Federal Deposit Insurance Act (12 U.S.C. 1813);</w:t>
      </w:r>
    </w:p>
    <w:p>
      <w:pPr>
        <w:spacing w:after="0" w:line="1" w:lineRule="exact"/>
        <w:rPr>
          <w:rFonts w:ascii="Arial" w:cs="Arial" w:eastAsia="Arial" w:hAnsi="Arial"/>
          <w:sz w:val="21"/>
          <w:szCs w:val="21"/>
          <w:color w:val="auto"/>
        </w:rPr>
      </w:pPr>
    </w:p>
    <w:p>
      <w:pPr>
        <w:ind w:left="1300" w:right="76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church plan that is excluded from the definition of an investment company under section 3(c)(14) of the Investment Company Act of 1940 (15 U.S.C. 80a-3);</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Group, in accordance with §240.13d-1(b)(1)(ii)(J).</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3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securities reported herein (the “Securities”) are beneficially owned by one or more open-end investment companies or other managed accounts which, pursuant to investment management contracts, are managed by Franklin Mutual Advisers, LLC ("FMA"), an indirect wholly owned subsidiary of Franklin Resources, Inc. ("FRI"). Such investment management contracts grant to FMA all investment and voting power over the securities owned by such investment management clients. Therefore, FMA may be deemed to be, for purposes of Rule 13d-3 under the Act, the beneficial owner of the Securities.</w:t>
      </w:r>
    </w:p>
    <w:p>
      <w:pPr>
        <w:spacing w:after="0" w:line="206"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(FMA’s parent holding company) and from all other investment management subsidiaries of FRI (FRI, its affiliates and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Charles B. Johnson and Rupert H. Johnson, Jr. (the "Principal Shareholders") each own in excess of 10% of the outstanding common stock of FRI and are the principal stockholders of FRI. However, because FMA exercises voting and investment powers on behalf of its investment management clients independently of FRI, the Principal Shareholders, and their respective affiliates, beneficial ownership of the securities being reported by FMA is being attributed only to FMA. FMA disclaims any pecuniary interest in any of the Securities. In addition, the filing of this Schedule 13G on behalf of FMA should not be</w:t>
      </w:r>
    </w:p>
    <w:p>
      <w:pPr>
        <w:sectPr>
          <w:pgSz w:w="11900" w:h="16838" w:orient="portrait"/>
          <w:cols w:equalWidth="0" w:num="1">
            <w:col w:w="11420"/>
          </w:cols>
          <w:pgMar w:left="240" w:top="118" w:right="239" w:bottom="1440" w:gutter="0" w:footer="0" w:header="0"/>
        </w:sectPr>
      </w:pPr>
    </w:p>
    <w:bookmarkStart w:id="4" w:name="page5"/>
    <w:bookmarkEnd w:id="4"/>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 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5 OF 7</w:t>
      </w:r>
    </w:p>
    <w:p>
      <w:pPr>
        <w:spacing w:after="0" w:line="200" w:lineRule="exact"/>
        <w:rPr>
          <w:sz w:val="20"/>
          <w:szCs w:val="20"/>
          <w:color w:val="auto"/>
        </w:rPr>
      </w:pPr>
    </w:p>
    <w:p>
      <w:pPr>
        <w:spacing w:after="0" w:line="277" w:lineRule="exact"/>
        <w:rPr>
          <w:sz w:val="20"/>
          <w:szCs w:val="20"/>
          <w:color w:val="auto"/>
        </w:rPr>
      </w:pPr>
    </w:p>
    <w:p>
      <w:pPr>
        <w:ind w:right="760"/>
        <w:spacing w:after="0" w:line="239" w:lineRule="auto"/>
        <w:rPr>
          <w:sz w:val="20"/>
          <w:szCs w:val="20"/>
          <w:color w:val="auto"/>
        </w:rPr>
      </w:pPr>
      <w:r>
        <w:rPr>
          <w:rFonts w:ascii="Arial" w:cs="Arial" w:eastAsia="Arial" w:hAnsi="Arial"/>
          <w:sz w:val="22"/>
          <w:szCs w:val="22"/>
          <w:color w:val="auto"/>
        </w:rPr>
        <w:t>construed as an admission that it is, and it disclaims that it is, the beneficial owner, as defined in Rule 13d-3, of any of the Securities.</w:t>
      </w:r>
    </w:p>
    <w:p>
      <w:pPr>
        <w:ind w:right="300"/>
        <w:spacing w:after="0" w:line="233" w:lineRule="auto"/>
        <w:rPr>
          <w:sz w:val="20"/>
          <w:szCs w:val="20"/>
          <w:color w:val="auto"/>
        </w:rPr>
      </w:pPr>
      <w:r>
        <w:rPr>
          <w:rFonts w:ascii="Arial" w:cs="Arial" w:eastAsia="Arial" w:hAnsi="Arial"/>
          <w:sz w:val="22"/>
          <w:szCs w:val="22"/>
          <w:color w:val="auto"/>
        </w:rPr>
        <w:t>Furthermore, FMA believes that it is not a "group" with FRI, the Principal Shareholders, or their respective affiliates within the meaning of Rule 13d-5 under the Act and that none of them are otherwise required to attribute to each other the beneficial ownership of the Securities held by any of them or by any persons or entities for whom or for which FRI subsidiaries provide investment management services.</w:t>
      </w:r>
    </w:p>
    <w:p>
      <w:pPr>
        <w:spacing w:after="0" w:line="229" w:lineRule="exact"/>
        <w:rPr>
          <w:sz w:val="20"/>
          <w:szCs w:val="20"/>
          <w:color w:val="auto"/>
        </w:rPr>
      </w:pPr>
    </w:p>
    <w:p>
      <w:pPr>
        <w:ind w:left="4460" w:right="4080" w:hanging="9"/>
        <w:spacing w:after="0" w:line="486" w:lineRule="auto"/>
        <w:tabs>
          <w:tab w:leader="none" w:pos="4754"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beneficially owned: 325,719</w:t>
      </w:r>
    </w:p>
    <w:p>
      <w:pPr>
        <w:spacing w:after="0" w:line="1" w:lineRule="exact"/>
        <w:rPr>
          <w:rFonts w:ascii="Arial" w:cs="Arial" w:eastAsia="Arial" w:hAnsi="Arial"/>
          <w:sz w:val="22"/>
          <w:szCs w:val="22"/>
          <w:color w:val="auto"/>
        </w:rPr>
      </w:pPr>
    </w:p>
    <w:p>
      <w:pPr>
        <w:ind w:left="4760" w:hanging="309"/>
        <w:spacing w:after="0"/>
        <w:tabs>
          <w:tab w:leader="none" w:pos="47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4.1%</w:t>
      </w:r>
    </w:p>
    <w:p>
      <w:pPr>
        <w:spacing w:after="0" w:line="260" w:lineRule="exact"/>
        <w:rPr>
          <w:sz w:val="20"/>
          <w:szCs w:val="20"/>
          <w:color w:val="auto"/>
        </w:rPr>
      </w:pPr>
    </w:p>
    <w:p>
      <w:pPr>
        <w:ind w:left="4740" w:hanging="289"/>
        <w:spacing w:after="0"/>
        <w:tabs>
          <w:tab w:leader="none" w:pos="4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60" w:lineRule="exact"/>
        <w:rPr>
          <w:rFonts w:ascii="Arial" w:cs="Arial" w:eastAsia="Arial" w:hAnsi="Arial"/>
          <w:sz w:val="22"/>
          <w:szCs w:val="22"/>
          <w:color w:val="auto"/>
        </w:rPr>
      </w:pPr>
    </w:p>
    <w:p>
      <w:pPr>
        <w:ind w:left="4700" w:hanging="249"/>
        <w:spacing w:after="0"/>
        <w:tabs>
          <w:tab w:leader="none" w:pos="4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Franklin Mutual Advisers, LLC:  325,719</w:t>
      </w:r>
    </w:p>
    <w:p>
      <w:pPr>
        <w:spacing w:after="0" w:line="274" w:lineRule="exact"/>
        <w:rPr>
          <w:sz w:val="20"/>
          <w:szCs w:val="20"/>
          <w:color w:val="auto"/>
        </w:rPr>
      </w:pPr>
    </w:p>
    <w:p>
      <w:pPr>
        <w:ind w:left="4760" w:hanging="309"/>
        <w:spacing w:after="0"/>
        <w:tabs>
          <w:tab w:leader="none" w:pos="4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60" w:lineRule="exact"/>
        <w:rPr>
          <w:rFonts w:ascii="Arial" w:cs="Arial" w:eastAsia="Arial" w:hAnsi="Arial"/>
          <w:sz w:val="22"/>
          <w:szCs w:val="22"/>
          <w:color w:val="auto"/>
        </w:rPr>
      </w:pPr>
    </w:p>
    <w:p>
      <w:pPr>
        <w:ind w:left="4460"/>
        <w:spacing w:after="0"/>
        <w:rPr>
          <w:rFonts w:ascii="Arial" w:cs="Arial" w:eastAsia="Arial" w:hAnsi="Arial"/>
          <w:sz w:val="22"/>
          <w:szCs w:val="22"/>
          <w:color w:val="auto"/>
        </w:rPr>
      </w:pPr>
      <w:r>
        <w:rPr>
          <w:rFonts w:ascii="Arial" w:cs="Arial" w:eastAsia="Arial" w:hAnsi="Arial"/>
          <w:sz w:val="22"/>
          <w:szCs w:val="22"/>
          <w:color w:val="auto"/>
        </w:rPr>
        <w:t>0</w:t>
      </w:r>
    </w:p>
    <w:p>
      <w:pPr>
        <w:spacing w:after="0" w:line="260" w:lineRule="exact"/>
        <w:rPr>
          <w:rFonts w:ascii="Arial" w:cs="Arial" w:eastAsia="Arial" w:hAnsi="Arial"/>
          <w:sz w:val="22"/>
          <w:szCs w:val="22"/>
          <w:color w:val="auto"/>
        </w:rPr>
      </w:pPr>
    </w:p>
    <w:p>
      <w:pPr>
        <w:ind w:left="4460" w:right="3240" w:hanging="9"/>
        <w:spacing w:after="0" w:line="276" w:lineRule="auto"/>
        <w:tabs>
          <w:tab w:leader="none" w:pos="4838"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8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Franklin Mutual Advisers, LLC:  325,719</w:t>
      </w:r>
    </w:p>
    <w:p>
      <w:pPr>
        <w:spacing w:after="0" w:line="274" w:lineRule="exact"/>
        <w:rPr>
          <w:sz w:val="20"/>
          <w:szCs w:val="20"/>
          <w:color w:val="auto"/>
        </w:rPr>
      </w:pPr>
    </w:p>
    <w:p>
      <w:pPr>
        <w:ind w:left="4460" w:right="3040" w:hanging="9"/>
        <w:spacing w:after="0" w:line="276" w:lineRule="auto"/>
        <w:tabs>
          <w:tab w:leader="none" w:pos="4826"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33" w:lineRule="exact"/>
        <w:rPr>
          <w:sz w:val="20"/>
          <w:szCs w:val="20"/>
          <w:color w:val="auto"/>
        </w:rPr>
      </w:pPr>
    </w:p>
    <w:p>
      <w:pPr>
        <w:ind w:left="980" w:right="5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233" w:lineRule="exact"/>
        <w:rPr>
          <w:sz w:val="20"/>
          <w:szCs w:val="20"/>
          <w:color w:val="auto"/>
        </w:rPr>
      </w:pPr>
    </w:p>
    <w:p>
      <w:pPr>
        <w:ind w:left="980"/>
        <w:spacing w:after="0" w:line="258" w:lineRule="auto"/>
        <w:rPr>
          <w:sz w:val="20"/>
          <w:szCs w:val="20"/>
          <w:color w:val="auto"/>
        </w:rPr>
      </w:pPr>
      <w:r>
        <w:rPr>
          <w:rFonts w:ascii="Arial" w:cs="Arial" w:eastAsia="Arial" w:hAnsi="Arial"/>
          <w:sz w:val="21"/>
          <w:szCs w:val="21"/>
          <w:color w:val="auto"/>
        </w:rPr>
        <w:t>The clients of Franklin Mutual Advisers, LLC,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ind w:left="980" w:right="60" w:hanging="971"/>
        <w:spacing w:after="0" w:line="251"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ectPr>
          <w:pgSz w:w="11900" w:h="16838" w:orient="portrait"/>
          <w:cols w:equalWidth="0" w:num="1">
            <w:col w:w="11300"/>
          </w:cols>
          <w:pgMar w:left="240" w:top="118" w:right="359" w:bottom="1440" w:gutter="0" w:footer="0" w:header="0"/>
        </w:sectPr>
      </w:pPr>
    </w:p>
    <w:bookmarkStart w:id="5" w:name="page6"/>
    <w:bookmarkEnd w:id="5"/>
    <w:p>
      <w:pPr>
        <w:spacing w:after="0"/>
        <w:tabs>
          <w:tab w:leader="none" w:pos="2940" w:val="left"/>
          <w:tab w:leader="none" w:pos="5900" w:val="left"/>
        </w:tabs>
        <w:rPr>
          <w:sz w:val="20"/>
          <w:szCs w:val="20"/>
          <w:color w:val="auto"/>
        </w:rPr>
      </w:pPr>
      <w:r>
        <w:rPr>
          <w:rFonts w:ascii="Arial" w:cs="Arial" w:eastAsia="Arial" w:hAnsi="Arial"/>
          <w:sz w:val="22"/>
          <w:szCs w:val="22"/>
          <w:color w:val="auto"/>
        </w:rPr>
        <w:t>CUSIP NO. 939640108</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6 OF 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Not Applicable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This report shall not be construed as an admission by the person filing the report that it is the beneficial owner of any securities covered by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18, 2007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Franklin Mutual Advisers, LLC</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By: /s/BRADLEY TAKAHASHI</w:t>
      </w:r>
    </w:p>
    <w:p>
      <w:pPr>
        <w:ind w:left="4460"/>
        <w:spacing w:after="0" w:line="192" w:lineRule="auto"/>
        <w:rPr>
          <w:sz w:val="20"/>
          <w:szCs w:val="20"/>
          <w:color w:val="auto"/>
        </w:rPr>
      </w:pPr>
      <w:r>
        <w:rPr>
          <w:rFonts w:ascii="Arial" w:cs="Arial" w:eastAsia="Arial" w:hAnsi="Arial"/>
          <w:sz w:val="22"/>
          <w:szCs w:val="22"/>
          <w:color w:val="auto"/>
        </w:rPr>
        <w:t>-----------------------</w:t>
      </w:r>
    </w:p>
    <w:p>
      <w:pPr>
        <w:ind w:left="4460"/>
        <w:spacing w:after="0"/>
        <w:rPr>
          <w:sz w:val="20"/>
          <w:szCs w:val="20"/>
          <w:color w:val="auto"/>
        </w:rPr>
      </w:pPr>
      <w:r>
        <w:rPr>
          <w:rFonts w:ascii="Arial" w:cs="Arial" w:eastAsia="Arial" w:hAnsi="Arial"/>
          <w:sz w:val="22"/>
          <w:szCs w:val="22"/>
          <w:color w:val="auto"/>
        </w:rPr>
        <w:t>Bradley Takahashi</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Vice President</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2019-12-13T07:51:27Z</dcterms:created>
  <dcterms:modified xsi:type="dcterms:W3CDTF">2019-12-13T07:51:27Z</dcterms:modified>
</cp:coreProperties>
</file>