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October 2,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ind w:left="460"/>
        <w:spacing w:after="0" w:line="207" w:lineRule="exact"/>
        <w:tabs>
          <w:tab w:leader="none" w:pos="8760" w:val="left"/>
          <w:tab w:leader="none" w:pos="9480" w:val="left"/>
        </w:tabs>
        <w:rPr>
          <w:sz w:val="20"/>
          <w:szCs w:val="20"/>
          <w:color w:val="auto"/>
        </w:rPr>
      </w:pPr>
      <w:r>
        <w:rPr>
          <w:rFonts w:ascii="Arial" w:cs="Arial" w:eastAsia="Arial" w:hAnsi="Arial"/>
          <w:sz w:val="16"/>
          <w:szCs w:val="16"/>
          <w:color w:val="auto"/>
        </w:rPr>
        <w:t>Indicate by check mark whether the registrant is an accelerated filer as defined by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58"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Shares outstanding at October 31, 2005:</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2860"/>
              <w:spacing w:after="0"/>
              <w:rPr>
                <w:sz w:val="20"/>
                <w:szCs w:val="20"/>
                <w:color w:val="auto"/>
              </w:rPr>
            </w:pPr>
            <w:r>
              <w:rPr>
                <w:rFonts w:ascii="Arial" w:cs="Arial" w:eastAsia="Arial" w:hAnsi="Arial"/>
                <w:sz w:val="18"/>
                <w:szCs w:val="18"/>
                <w:color w:val="auto"/>
              </w:rPr>
              <w:t>Class A Common Stock</w:t>
            </w:r>
          </w:p>
        </w:tc>
        <w:tc>
          <w:tcPr>
            <w:tcW w:w="5460" w:type="dxa"/>
            <w:vAlign w:val="bottom"/>
          </w:tcPr>
          <w:p>
            <w:pPr>
              <w:ind w:left="1380"/>
              <w:spacing w:after="0"/>
              <w:rPr>
                <w:sz w:val="20"/>
                <w:szCs w:val="20"/>
                <w:color w:val="auto"/>
              </w:rPr>
            </w:pPr>
            <w:r>
              <w:rPr>
                <w:rFonts w:ascii="Arial" w:cs="Arial" w:eastAsia="Arial" w:hAnsi="Arial"/>
                <w:sz w:val="18"/>
                <w:szCs w:val="18"/>
                <w:color w:val="auto"/>
              </w:rPr>
              <w:t>1,722,250 Shares</w:t>
            </w:r>
          </w:p>
        </w:tc>
      </w:tr>
      <w:tr>
        <w:trPr>
          <w:trHeight w:val="222"/>
        </w:trPr>
        <w:tc>
          <w:tcPr>
            <w:tcW w:w="5960" w:type="dxa"/>
            <w:vAlign w:val="bottom"/>
          </w:tcPr>
          <w:p>
            <w:pPr>
              <w:ind w:left="2860"/>
              <w:spacing w:after="0"/>
              <w:rPr>
                <w:sz w:val="20"/>
                <w:szCs w:val="20"/>
                <w:color w:val="auto"/>
              </w:rPr>
            </w:pPr>
            <w:r>
              <w:rPr>
                <w:rFonts w:ascii="Arial" w:cs="Arial" w:eastAsia="Arial" w:hAnsi="Arial"/>
                <w:sz w:val="18"/>
                <w:szCs w:val="18"/>
                <w:color w:val="auto"/>
              </w:rPr>
              <w:t>Class B Common Stock</w:t>
            </w:r>
          </w:p>
        </w:tc>
        <w:tc>
          <w:tcPr>
            <w:tcW w:w="5460" w:type="dxa"/>
            <w:vAlign w:val="bottom"/>
          </w:tcPr>
          <w:p>
            <w:pPr>
              <w:ind w:left="1400"/>
              <w:spacing w:after="0"/>
              <w:rPr>
                <w:sz w:val="20"/>
                <w:szCs w:val="20"/>
                <w:color w:val="auto"/>
              </w:rPr>
            </w:pPr>
            <w:r>
              <w:rPr>
                <w:rFonts w:ascii="Arial" w:cs="Arial" w:eastAsia="Arial" w:hAnsi="Arial"/>
                <w:sz w:val="18"/>
                <w:szCs w:val="18"/>
                <w:color w:val="auto"/>
              </w:rPr>
              <w:t>7,875,311 Shares</w:t>
            </w:r>
          </w:p>
        </w:tc>
      </w:tr>
      <w:tr>
        <w:trPr>
          <w:trHeight w:val="201"/>
        </w:trPr>
        <w:tc>
          <w:tcPr>
            <w:tcW w:w="596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7"/>
              </w:rPr>
              <w:t>THE WASHINGTON POST COMPANY</w:t>
            </w:r>
          </w:p>
        </w:tc>
        <w:tc>
          <w:tcPr>
            <w:tcW w:w="240" w:type="dxa"/>
            <w:vAlign w:val="bottom"/>
          </w:tcPr>
          <w:p>
            <w:pPr>
              <w:spacing w:after="0"/>
              <w:rPr>
                <w:sz w:val="19"/>
                <w:szCs w:val="19"/>
                <w:color w:val="auto"/>
              </w:rPr>
            </w:pPr>
          </w:p>
        </w:tc>
      </w:tr>
      <w:tr>
        <w:trPr>
          <w:trHeight w:val="365"/>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1"/>
              </w:rPr>
              <w:t>Index to Form 10-Q</w:t>
            </w:r>
          </w:p>
        </w:tc>
        <w:tc>
          <w:tcPr>
            <w:tcW w:w="240" w:type="dxa"/>
            <w:vAlign w:val="bottom"/>
          </w:tcPr>
          <w:p>
            <w:pPr>
              <w:spacing w:after="0"/>
              <w:rPr>
                <w:sz w:val="24"/>
                <w:szCs w:val="24"/>
                <w:color w:val="auto"/>
              </w:rPr>
            </w:pPr>
          </w:p>
        </w:tc>
      </w:tr>
      <w:tr>
        <w:trPr>
          <w:trHeight w:val="326"/>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20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4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 Condensed Consolidated Statements of Income (Unaudited) for the Thirteen and Thirty-Nine Weeks Ended October 2, 2005 and September 26,</w:t>
              </w:r>
            </w:hyperlink>
          </w:p>
        </w:tc>
        <w:tc>
          <w:tcPr>
            <w:tcW w:w="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2004</w:t>
              </w:r>
            </w:hyperlink>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Income (Unaudited) for the Thirteen and Thirty-Nine Weeks Ended October 2, 2005 and</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26, 2004</w:t>
              </w:r>
            </w:hyperlink>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October 2, 2005 (Unaudited) and January 2, 2005</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0" w:type="dxa"/>
            <w:vAlign w:val="bottom"/>
            <w:gridSpan w:val="16"/>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d. Condensed Consolidated Statements of Cash Flows (Unaudited) for the Thirty-Nine Weeks Ended October 2, 2005 and September 26, 2004</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e. Notes to Condensed Consolidated Financial Statements (Unaudited)</w:t>
              </w:r>
            </w:hyperlink>
          </w:p>
        </w:tc>
        <w:tc>
          <w:tcPr>
            <w:tcW w:w="5040" w:type="dxa"/>
            <w:vAlign w:val="bottom"/>
            <w:tcBorders>
              <w:top w:val="single" w:sz="8" w:color="0000EE"/>
            </w:tcBorders>
            <w:gridSpan w:val="3"/>
          </w:tcPr>
          <w:p>
            <w:pPr>
              <w:spacing w:after="0"/>
              <w:rPr>
                <w:sz w:val="24"/>
                <w:szCs w:val="24"/>
                <w:color w:val="auto"/>
              </w:rPr>
            </w:pPr>
          </w:p>
        </w:tc>
        <w:tc>
          <w:tcPr>
            <w:tcW w:w="400" w:type="dxa"/>
            <w:vAlign w:val="bottom"/>
            <w:gridSpan w:val="3"/>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Results of Operations and Financial Condition</w:t>
              </w:r>
            </w:hyperlink>
          </w:p>
        </w:tc>
        <w:tc>
          <w:tcPr>
            <w:tcW w:w="4100" w:type="dxa"/>
            <w:vAlign w:val="bottom"/>
            <w:gridSpan w:val="5"/>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200" w:type="dxa"/>
            <w:vAlign w:val="bottom"/>
            <w:gridSpan w:val="7"/>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OTHER INFORMATION</w:t>
              </w:r>
            </w:hyperlink>
          </w:p>
        </w:tc>
        <w:tc>
          <w:tcPr>
            <w:tcW w:w="856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4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Signatures</w:t>
              </w:r>
            </w:hyperlink>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1"/>
          </w:tcPr>
          <w:p>
            <w:pPr>
              <w:jc w:val="center"/>
              <w:ind w:left="3492"/>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Thirteen Weeks Ended</w:t>
            </w:r>
          </w:p>
        </w:tc>
        <w:tc>
          <w:tcPr>
            <w:tcW w:w="80" w:type="dxa"/>
            <w:vAlign w:val="bottom"/>
          </w:tcPr>
          <w:p>
            <w:pPr>
              <w:spacing w:after="0"/>
              <w:rPr>
                <w:sz w:val="15"/>
                <w:szCs w:val="15"/>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October 2,</w:t>
            </w:r>
          </w:p>
        </w:tc>
        <w:tc>
          <w:tcPr>
            <w:tcW w:w="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8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October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80" w:type="dxa"/>
            <w:vAlign w:val="bottom"/>
            <w:gridSpan w:val="2"/>
            <w:vMerge w:val="continue"/>
          </w:tcPr>
          <w:p>
            <w:pPr>
              <w:spacing w:after="0"/>
              <w:rPr>
                <w:sz w:val="5"/>
                <w:szCs w:val="5"/>
                <w:color w:val="auto"/>
              </w:rPr>
            </w:pPr>
          </w:p>
        </w:tc>
        <w:tc>
          <w:tcPr>
            <w:tcW w:w="2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311,581</w:t>
            </w:r>
          </w:p>
        </w:tc>
        <w:tc>
          <w:tcPr>
            <w:tcW w:w="3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323,021</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953,694</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960,208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182,677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185,521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560,521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362,822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293,621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1,033,985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873,662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820,032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2,605,169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486,400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422,894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1,411,833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1,252,983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225,760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210,488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47,531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141,004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761,278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679,734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2,247,101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2,006,177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112,384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140,298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(20,509)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111,358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135,172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44,800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52,700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136,600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66,313</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320" w:type="dxa"/>
            <w:vAlign w:val="bottom"/>
            <w:vMerge w:val="restart"/>
          </w:tcPr>
          <w:p>
            <w:pPr>
              <w:jc w:val="right"/>
              <w:ind w:right="125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-1646555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-1646555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-1646555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-1646555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-1646555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-1646555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-1646555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-1646555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-1646555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-1646555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-1646555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-1646555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-1346835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-1346835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-1346835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-1346835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-1346835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-1346835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-1346835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-1346835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-1346835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-1346835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-1346835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-1346835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-1046480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-1046480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-1046480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-1046480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-1046480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-1046480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-1046480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-1046480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-1046480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-1046480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-1046480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-1046480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-746125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-746125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-746125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-746125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-746125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-746125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-746125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-746125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-746125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-746125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-746125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-746125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Thirteen Weeks Ended</w:t>
            </w: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October 2,</w:t>
            </w:r>
          </w:p>
        </w:tc>
        <w:tc>
          <w:tcPr>
            <w:tcW w:w="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October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64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 w:type="dxa"/>
            <w:vAlign w:val="bottom"/>
          </w:tcPr>
          <w:p>
            <w:pPr>
              <w:spacing w:after="0"/>
              <w:rPr>
                <w:sz w:val="5"/>
                <w:szCs w:val="5"/>
                <w:color w:val="auto"/>
              </w:rPr>
            </w:pPr>
          </w:p>
        </w:tc>
        <w:tc>
          <w:tcPr>
            <w:tcW w:w="71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71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$ 66,558</w:t>
            </w:r>
          </w:p>
        </w:tc>
        <w:tc>
          <w:tcPr>
            <w:tcW w:w="360" w:type="dxa"/>
            <w:vAlign w:val="bottom"/>
            <w:shd w:val="clear" w:color="auto" w:fill="CCEEFF"/>
          </w:tcPr>
          <w:p>
            <w:pPr>
              <w:spacing w:after="0"/>
              <w:rPr>
                <w:sz w:val="18"/>
                <w:szCs w:val="18"/>
                <w:color w:val="auto"/>
              </w:rPr>
            </w:pP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$ 211,904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3,227</w:t>
            </w:r>
          </w:p>
        </w:tc>
        <w:tc>
          <w:tcPr>
            <w:tcW w:w="3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(7,441)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2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(9,727)</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89"/>
              </w:rPr>
              <w:t>Add: reclassification adjustment for realized gains included in net income</w:t>
            </w:r>
          </w:p>
        </w:tc>
        <w:tc>
          <w:tcPr>
            <w:tcW w:w="2620" w:type="dxa"/>
            <w:vAlign w:val="bottom"/>
            <w:gridSpan w:val="3"/>
          </w:tcPr>
          <w:p>
            <w:pPr>
              <w:jc w:val="right"/>
              <w:ind w:right="300"/>
              <w:spacing w:after="0"/>
              <w:rPr>
                <w:sz w:val="20"/>
                <w:szCs w:val="20"/>
                <w:color w:val="auto"/>
              </w:rPr>
            </w:pPr>
            <w:r>
              <w:rPr>
                <w:rFonts w:ascii="Arial" w:cs="Arial" w:eastAsia="Arial" w:hAnsi="Arial"/>
                <w:sz w:val="18"/>
                <w:szCs w:val="18"/>
                <w:color w:val="auto"/>
              </w:rPr>
              <w:t>(8,978)</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(12,323)</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(17,534)</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(57,356)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94"/>
              </w:rPr>
              <w:t>Income tax benefit (expense) related to other comprehensive income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7,295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2"/>
          </w:tcPr>
          <w:p>
            <w:pPr>
              <w:jc w:val="right"/>
              <w:ind w:right="320"/>
              <w:spacing w:after="0"/>
              <w:rPr>
                <w:sz w:val="20"/>
                <w:szCs w:val="20"/>
                <w:color w:val="auto"/>
              </w:rPr>
            </w:pPr>
            <w:r>
              <w:rPr>
                <w:rFonts w:ascii="Arial" w:cs="Arial" w:eastAsia="Arial" w:hAnsi="Arial"/>
                <w:sz w:val="18"/>
                <w:szCs w:val="18"/>
                <w:color w:val="auto"/>
              </w:rPr>
              <w:t>(3,359)</w:t>
            </w:r>
          </w:p>
        </w:tc>
        <w:tc>
          <w:tcPr>
            <w:tcW w:w="680" w:type="dxa"/>
            <w:vAlign w:val="bottom"/>
          </w:tcPr>
          <w:p>
            <w:pPr>
              <w:jc w:val="right"/>
              <w:spacing w:after="0"/>
              <w:rPr>
                <w:sz w:val="20"/>
                <w:szCs w:val="20"/>
                <w:color w:val="auto"/>
              </w:rPr>
            </w:pPr>
            <w:r>
              <w:rPr>
                <w:rFonts w:ascii="Arial" w:cs="Arial" w:eastAsia="Arial" w:hAnsi="Arial"/>
                <w:sz w:val="18"/>
                <w:szCs w:val="18"/>
                <w:color w:val="auto"/>
              </w:rPr>
              <w:t>19,469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(10,239)</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$ 56,319</w:t>
            </w:r>
          </w:p>
        </w:tc>
        <w:tc>
          <w:tcPr>
            <w:tcW w:w="360" w:type="dxa"/>
            <w:vAlign w:val="bottom"/>
            <w:shd w:val="clear" w:color="auto" w:fill="CCEEFF"/>
          </w:tcPr>
          <w:p>
            <w:pPr>
              <w:spacing w:after="0"/>
              <w:rPr>
                <w:sz w:val="18"/>
                <w:szCs w:val="18"/>
                <w:color w:val="auto"/>
              </w:rPr>
            </w:pP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600" w:type="dxa"/>
            <w:vAlign w:val="bottom"/>
            <w:vMerge w:val="restart"/>
          </w:tcPr>
          <w:p>
            <w:pPr>
              <w:jc w:val="right"/>
              <w:ind w:right="1394"/>
              <w:spacing w:after="0"/>
              <w:rPr>
                <w:sz w:val="20"/>
                <w:szCs w:val="20"/>
                <w:color w:val="auto"/>
              </w:rPr>
            </w:pPr>
            <w:r>
              <w:rPr>
                <w:rFonts w:ascii="Arial" w:cs="Arial" w:eastAsia="Arial" w:hAnsi="Arial"/>
                <w:sz w:val="18"/>
                <w:szCs w:val="18"/>
                <w:color w:val="auto"/>
                <w:w w:val="99"/>
              </w:rPr>
              <w:t>4</w:t>
            </w: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October 2,</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1,837,123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1,730,997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2,314,230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2,169,277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(1,326,210)</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(1,197,375)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1,120,566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4,444,905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246,137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385,418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1,900,147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3,769,139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3,629,222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(1,509,776)</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(1,512,888)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2,532,491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2,412,482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-4402455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-4402455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-4402455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-4402455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-4402455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-4402455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900" w:orient="portrait"/>
          <w:cols w:equalWidth="0" w:num="1">
            <w:col w:w="11420"/>
          </w:cols>
          <w:pgMar w:left="240" w:top="459" w:right="239" w:bottom="0" w:gutter="0" w:footer="0" w:header="0"/>
        </w:sectPr>
      </w:pPr>
    </w:p>
    <w:bookmarkStart w:id="5" w:name="page6"/>
    <w:bookmarkEnd w:id="5"/>
    <w:p>
      <w:pPr>
        <w:ind w:left="8020"/>
        <w:spacing w:after="0"/>
        <w:tabs>
          <w:tab w:leader="none" w:pos="9260" w:val="left"/>
        </w:tabs>
        <w:rPr>
          <w:sz w:val="20"/>
          <w:szCs w:val="20"/>
          <w:color w:val="auto"/>
        </w:rPr>
      </w:pPr>
      <w:r>
        <w:rPr>
          <w:rFonts w:ascii="Arial" w:cs="Arial" w:eastAsia="Arial" w:hAnsi="Arial"/>
          <w:sz w:val="18"/>
          <w:szCs w:val="18"/>
          <w:color w:val="auto"/>
        </w:rPr>
        <w:t>$ 4,444,905</w:t>
      </w:r>
      <w:r>
        <w:rPr>
          <w:sz w:val="20"/>
          <w:szCs w:val="20"/>
          <w:color w:val="auto"/>
        </w:rPr>
        <w:tab/>
      </w:r>
      <w:r>
        <w:rPr>
          <w:rFonts w:ascii="Arial" w:cs="Arial" w:eastAsia="Arial" w:hAnsi="Arial"/>
          <w:sz w:val="16"/>
          <w:szCs w:val="16"/>
          <w:color w:val="auto"/>
        </w:rPr>
        <w:t>$ 4,316,641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77470</wp:posOffset>
            </wp:positionV>
            <wp:extent cx="13849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0160"/>
          </w:cols>
          <w:pgMar w:left="1440" w:top="131"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60"/>
          </w:cols>
          <w:pgMar w:left="1440" w:top="131" w:right="2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October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4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$ 211,904</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720" w:type="dxa"/>
            <w:vAlign w:val="bottom"/>
          </w:tcPr>
          <w:p>
            <w:pPr>
              <w:jc w:val="right"/>
              <w:spacing w:after="0"/>
              <w:rPr>
                <w:sz w:val="20"/>
                <w:szCs w:val="20"/>
                <w:color w:val="auto"/>
              </w:rPr>
            </w:pPr>
            <w:r>
              <w:rPr>
                <w:rFonts w:ascii="Arial" w:cs="Arial" w:eastAsia="Arial" w:hAnsi="Arial"/>
                <w:sz w:val="18"/>
                <w:szCs w:val="18"/>
                <w:color w:val="auto"/>
              </w:rPr>
              <w:t>141,004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(28,154)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Gain from sale of land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(5,148)</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write-downs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(11,957)</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exchange loss (gain)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720" w:type="dxa"/>
            <w:vAlign w:val="bottom"/>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9,758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Increase in accounts receivable, net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inventories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(Decrease) increase in accounts payable and accrued liabilities</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(36,726)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Increase in income taxes payable</w:t>
            </w:r>
          </w:p>
        </w:tc>
        <w:tc>
          <w:tcPr>
            <w:tcW w:w="720" w:type="dxa"/>
            <w:vAlign w:val="bottom"/>
          </w:tcPr>
          <w:p>
            <w:pPr>
              <w:jc w:val="right"/>
              <w:spacing w:after="0"/>
              <w:rPr>
                <w:sz w:val="20"/>
                <w:szCs w:val="20"/>
                <w:color w:val="auto"/>
              </w:rPr>
            </w:pPr>
            <w:r>
              <w:rPr>
                <w:rFonts w:ascii="Arial" w:cs="Arial" w:eastAsia="Arial" w:hAnsi="Arial"/>
                <w:sz w:val="18"/>
                <w:szCs w:val="18"/>
                <w:color w:val="auto"/>
              </w:rPr>
              <w:t>26,274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other assets and other liabilities,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(164,736)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(137,834)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(148,137)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720" w:type="dxa"/>
            <w:vAlign w:val="bottom"/>
          </w:tcPr>
          <w:p>
            <w:pPr>
              <w:jc w:val="right"/>
              <w:spacing w:after="0"/>
              <w:rPr>
                <w:sz w:val="20"/>
                <w:szCs w:val="20"/>
                <w:color w:val="auto"/>
              </w:rPr>
            </w:pPr>
            <w:r>
              <w:rPr>
                <w:rFonts w:ascii="Arial" w:cs="Arial" w:eastAsia="Arial" w:hAnsi="Arial"/>
                <w:sz w:val="18"/>
                <w:szCs w:val="18"/>
                <w:color w:val="auto"/>
              </w:rPr>
              <w:t>25,830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55,459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affiliates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(236,565)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(239,190)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repayment of commercial paper</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(50,201)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(122,072)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(53,976)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overdraft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tcPr>
          <w:p>
            <w:pPr>
              <w:jc w:val="right"/>
              <w:spacing w:after="0"/>
              <w:rPr>
                <w:sz w:val="20"/>
                <w:szCs w:val="20"/>
                <w:color w:val="auto"/>
              </w:rPr>
            </w:pPr>
            <w:r>
              <w:rPr>
                <w:rFonts w:ascii="Arial" w:cs="Arial" w:eastAsia="Arial" w:hAnsi="Arial"/>
                <w:sz w:val="18"/>
                <w:szCs w:val="18"/>
                <w:color w:val="auto"/>
              </w:rPr>
              <w:t>5,117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(179,846)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119,400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$ 170,310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2004 presentation.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third quarter of 2005, Kaplan acquired two businesses in the test preparation division, totaling $38.4 million, financed with cash. This included the acquisition of The Kidum Group, the leading provider of test preparation services in Israel. In the second quarter of 2005, Kaplan acquired five businesses in their higher education and professional divisions totaling $83.1 million.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 Most of the purchase price for these acquisitions has been allocated to goodwill and other intangibles on a preliminary basis.</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third quarter of 2004, Kaplan acquired three businesses in their higher education and professional divisions totaling $3.9 million. In the second quarter of 2004, Kaplan acquired two businesses in their higher education and professional divisions totaling $4.5 million, financed through cash and debt, with $0.3 million remaining to be paid. In addition, the cable division completed two small transactions for $1.8 million. In May 2004, the Company acquired El Tiempo Latino, a leading Spanish-language weekly newspaper in the greater Washington area. In the first quarter of 2004, Kaplan acquired three businesses in their higher education and test preparation divisions, totaling $49.8 million, financed through cash and debt.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October 2, 2005 and January 2, 2005 consist of the following (in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October 2,</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$237,076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$285,912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rPr>
              <w:t>73,904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123,824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$310,980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$409,736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and first nine months of 2005, the Company sold marketable equity securities for a pre-tax gain of $8.6 million and $12.0 million, respectively. There were no sales of marketable equity securities in the first nine months of 2004. The Company made $46.9 million in investments in marketable equity securities during the third quarter of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October 2, 2005 and January 2, 2005, the carrying value of the Company’s cost method investments was $12.3 million and $4.6 million, respectively. The Company invested $0.2 million and $8.3 million during the third quarter and first nine months of 2005, respectively, in companies constituting cost method investments; for the same periods of 2004, the Company invested $0 and $0.1 million, respectively.</w:t>
      </w:r>
    </w:p>
    <w:p>
      <w:pPr>
        <w:spacing w:after="0" w:line="12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recorded charges of $0.1 million and $0.7 million during the third quarter and first nine months of 2005, respectively, to write-down certain of its investments to estimated fair value; for the same periods of 2004, the Company recorded charges of $0 and $0.7 million, respectively.</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October 2, 2005, the Company has commercial paper investments of $57.8 million that are classified as “cash and cash equivalents” on the Company’s consolidated balance sheet.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60" w:type="dxa"/>
            <w:vAlign w:val="bottom"/>
            <w:gridSpan w:val="5"/>
          </w:tcPr>
          <w:p>
            <w:pPr>
              <w:ind w:left="1840"/>
              <w:spacing w:after="0"/>
              <w:rPr>
                <w:sz w:val="20"/>
                <w:szCs w:val="20"/>
                <w:color w:val="auto"/>
              </w:rPr>
            </w:pPr>
            <w:r>
              <w:rPr>
                <w:rFonts w:ascii="Arial" w:cs="Arial" w:eastAsia="Arial" w:hAnsi="Arial"/>
                <w:sz w:val="14"/>
                <w:szCs w:val="14"/>
                <w:b w:val="1"/>
                <w:bCs w:val="1"/>
                <w:color w:val="auto"/>
              </w:rPr>
              <w:t>October 2,</w:t>
            </w:r>
          </w:p>
        </w:tc>
        <w:tc>
          <w:tcPr>
            <w:tcW w:w="940" w:type="dxa"/>
            <w:vAlign w:val="bottom"/>
            <w:gridSpan w:val="4"/>
          </w:tcPr>
          <w:p>
            <w:pPr>
              <w:ind w:left="260"/>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4.0 percent notes due 2006 (£8.32 million)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indebtedness</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current portion</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96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commercial paper borrowings at January 2, 2005 were at an average interest rate of 2.2% and matured through January 2005.</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2003, notes of £16.7 million were issued to current employees of The Financial Training Company (FTC) who were former FTC shareholders in connection with the March 2003 acquisition by Kaplan. In 2004, 50% of the balance on the notes were paid. The remaining balance outstanding of £8.32 million is due for repayment in August 2006.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October 2, 2005 and January 2, 2005 is at interest rates of 6% to 7% and matures from 2004 to 2009.</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third quarter of 2005 and 2004, the Company had average borrowings outstanding of approximately $433.3 million and $490.1 million, respectively, at average annual interest rates of approximately 5.4 percent and 5.0 percent, respectively. During the third quarter of 2005 and 2004, the Company incurred net interest expense of $6.9 million and $6.5 million, respectively.</w:t>
      </w:r>
    </w:p>
    <w:p>
      <w:pPr>
        <w:spacing w:after="0" w:line="12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the first nine months of 2005 and 2004, the Company had average borrowings outstanding of approximately $446.0 million and $532.9 million, respectively, at average annual interest rates of approximately 4.8 percent and 4.7 percent, respectively. During the first nine months of 2005 and 2004, the Company incurred net interest expense of $18.7 million and $19.4 million, respectively.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2005 and 2004 asset information is as of October 2, 2005 and January 2, 2005,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3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86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4"/>
          </w:tcPr>
          <w:p>
            <w:pPr>
              <w:jc w:val="right"/>
              <w:ind w:right="160"/>
              <w:spacing w:after="0"/>
              <w:rPr>
                <w:sz w:val="20"/>
                <w:szCs w:val="20"/>
                <w:color w:val="auto"/>
              </w:rPr>
            </w:pPr>
            <w:r>
              <w:rPr>
                <w:rFonts w:ascii="Arial" w:cs="Arial" w:eastAsia="Arial" w:hAnsi="Arial"/>
                <w:sz w:val="18"/>
                <w:szCs w:val="18"/>
                <w:color w:val="auto"/>
              </w:rPr>
              <w:t>$235,517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73,984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78,106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123,233</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362,822</w:t>
            </w:r>
          </w:p>
        </w:tc>
        <w:tc>
          <w:tcPr>
            <w:tcW w:w="18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873,662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28,594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11,321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(7,962)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660" w:type="dxa"/>
            <w:vAlign w:val="bottom"/>
            <w:gridSpan w:val="4"/>
          </w:tcPr>
          <w:p>
            <w:pPr>
              <w:jc w:val="right"/>
              <w:ind w:right="160"/>
              <w:spacing w:after="0"/>
              <w:rPr>
                <w:sz w:val="20"/>
                <w:szCs w:val="20"/>
                <w:color w:val="auto"/>
              </w:rPr>
            </w:pPr>
            <w:r>
              <w:rPr>
                <w:rFonts w:ascii="Arial" w:cs="Arial" w:eastAsia="Arial" w:hAnsi="Arial"/>
                <w:sz w:val="18"/>
                <w:szCs w:val="18"/>
                <w:color w:val="auto"/>
              </w:rPr>
              <w:t>$ 701,115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408,106</w:t>
            </w:r>
          </w:p>
        </w:tc>
        <w:tc>
          <w:tcPr>
            <w:tcW w:w="1000" w:type="dxa"/>
            <w:vAlign w:val="bottom"/>
            <w:gridSpan w:val="4"/>
          </w:tcPr>
          <w:p>
            <w:pPr>
              <w:ind w:left="220"/>
              <w:spacing w:after="0"/>
              <w:rPr>
                <w:sz w:val="20"/>
                <w:szCs w:val="20"/>
                <w:color w:val="auto"/>
              </w:rPr>
            </w:pPr>
            <w:r>
              <w:rPr>
                <w:rFonts w:ascii="Arial" w:cs="Arial" w:eastAsia="Arial" w:hAnsi="Arial"/>
                <w:sz w:val="18"/>
                <w:szCs w:val="18"/>
                <w:color w:val="auto"/>
              </w:rPr>
              <w:t>$585,929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1,092,111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1,206,755</w:t>
            </w:r>
          </w:p>
        </w:tc>
        <w:tc>
          <w:tcPr>
            <w:tcW w:w="180" w:type="dxa"/>
            <w:vAlign w:val="bottom"/>
          </w:tcPr>
          <w:p>
            <w:pPr>
              <w:spacing w:after="0"/>
              <w:rPr>
                <w:sz w:val="18"/>
                <w:szCs w:val="18"/>
                <w:color w:val="auto"/>
              </w:rPr>
            </w:pP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85"/>
              </w:rPr>
              <w:t>$ 72,316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$4,066,332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$4,444,905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1"/>
                <w:szCs w:val="11"/>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3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86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4"/>
          </w:tcPr>
          <w:p>
            <w:pPr>
              <w:jc w:val="right"/>
              <w:ind w:right="160"/>
              <w:spacing w:after="0"/>
              <w:rPr>
                <w:sz w:val="20"/>
                <w:szCs w:val="20"/>
                <w:color w:val="auto"/>
              </w:rPr>
            </w:pPr>
            <w:r>
              <w:rPr>
                <w:rFonts w:ascii="Arial" w:cs="Arial" w:eastAsia="Arial" w:hAnsi="Arial"/>
                <w:sz w:val="18"/>
                <w:szCs w:val="18"/>
                <w:color w:val="auto"/>
              </w:rPr>
              <w:t>$224,930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91,367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85,227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124,887</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293,621</w:t>
            </w:r>
          </w:p>
        </w:tc>
        <w:tc>
          <w:tcPr>
            <w:tcW w:w="18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820,032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29,979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11,437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(6,991)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660" w:type="dxa"/>
            <w:vAlign w:val="bottom"/>
            <w:gridSpan w:val="4"/>
          </w:tcPr>
          <w:p>
            <w:pPr>
              <w:jc w:val="right"/>
              <w:ind w:right="160"/>
              <w:spacing w:after="0"/>
              <w:rPr>
                <w:sz w:val="20"/>
                <w:szCs w:val="20"/>
                <w:color w:val="auto"/>
              </w:rPr>
            </w:pPr>
            <w:r>
              <w:rPr>
                <w:rFonts w:ascii="Arial" w:cs="Arial" w:eastAsia="Arial" w:hAnsi="Arial"/>
                <w:sz w:val="18"/>
                <w:szCs w:val="18"/>
                <w:color w:val="auto"/>
              </w:rPr>
              <w:t>$688,812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410,294</w:t>
            </w:r>
          </w:p>
        </w:tc>
        <w:tc>
          <w:tcPr>
            <w:tcW w:w="1000" w:type="dxa"/>
            <w:vAlign w:val="bottom"/>
            <w:gridSpan w:val="4"/>
          </w:tcPr>
          <w:p>
            <w:pPr>
              <w:ind w:left="220"/>
              <w:spacing w:after="0"/>
              <w:rPr>
                <w:sz w:val="20"/>
                <w:szCs w:val="20"/>
                <w:color w:val="auto"/>
              </w:rPr>
            </w:pPr>
            <w:r>
              <w:rPr>
                <w:rFonts w:ascii="Arial" w:cs="Arial" w:eastAsia="Arial" w:hAnsi="Arial"/>
                <w:sz w:val="18"/>
                <w:szCs w:val="18"/>
                <w:color w:val="auto"/>
              </w:rPr>
              <w:t>$582,489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1,113,554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1,035,772</w:t>
            </w:r>
          </w:p>
        </w:tc>
        <w:tc>
          <w:tcPr>
            <w:tcW w:w="180" w:type="dxa"/>
            <w:vAlign w:val="bottom"/>
          </w:tcPr>
          <w:p>
            <w:pPr>
              <w:spacing w:after="0"/>
              <w:rPr>
                <w:sz w:val="18"/>
                <w:szCs w:val="18"/>
                <w:color w:val="auto"/>
              </w:rPr>
            </w:pP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85"/>
              </w:rPr>
              <w:t>$ 14,170</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$3,845,091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ind w:right="55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-4674235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-4674235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-4674235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-3404870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-3404870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-3404870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-1595120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-1595120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-1595120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53594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Nine Month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4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80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$704,881</w:t>
            </w:r>
          </w:p>
        </w:tc>
        <w:tc>
          <w:tcPr>
            <w:tcW w:w="10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241,672</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$245,906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$378,725</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1,033,985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$2,605,169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86,991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26,152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51,894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115,252</w:t>
            </w:r>
          </w:p>
        </w:tc>
        <w:tc>
          <w:tcPr>
            <w:tcW w:w="10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(23,115)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27,551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75,384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3,241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28,250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24"/>
                <w:szCs w:val="2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80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$677,734</w:t>
            </w:r>
          </w:p>
        </w:tc>
        <w:tc>
          <w:tcPr>
            <w:tcW w:w="10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257,927</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$260,816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$372,327</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828,588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$2,397,392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99,646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35,891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72,382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88,055</w:t>
            </w:r>
          </w:p>
        </w:tc>
        <w:tc>
          <w:tcPr>
            <w:tcW w:w="10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(23,095)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28,023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7,174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27,890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-2959100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-2959100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-2959100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-737870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-737870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relationships intangibles and non-compete agreements, with amortization periods up to five years.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October 2, 2005 and January 2, 2005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$1,418,968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67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$1,120,566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40,362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16,802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6"/>
              </w:rPr>
              <w:t>$2,116,328</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479,010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$1,637,318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$1,321,542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67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$1,023,140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12,142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$1,998,561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474,350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$1,542,211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-1024255</wp:posOffset>
            </wp:positionV>
            <wp:extent cx="178816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816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08458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8458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October 2, 2005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$ 72,770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203,165</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$ 69,556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$591,983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(14,486)</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$ 80,651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203,165</w:t>
            </w:r>
          </w:p>
        </w:tc>
        <w:tc>
          <w:tcPr>
            <w:tcW w:w="84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$681,528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1,120,566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$486,330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-2962275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-2962275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-2962275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-2962275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-2962275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-2962275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-2962275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-2962275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-2962275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-2962275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-2962275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-2962275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-2962275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-2962275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-2962275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-2962275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-2962275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-2962275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-1632585</wp:posOffset>
            </wp:positionV>
            <wp:extent cx="350329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0329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nine-months ended September 26, 2004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3"/>
              </w:rPr>
              <w:t>Television</w:t>
            </w:r>
          </w:p>
        </w:tc>
        <w:tc>
          <w:tcPr>
            <w:tcW w:w="2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Magazine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Education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$ 71,277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$536,030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$ 72,667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$586,055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1,017,109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10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103"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18"/>
                <w:szCs w:val="18"/>
                <w:color w:val="auto"/>
              </w:rPr>
            </w:pPr>
          </w:p>
        </w:tc>
        <w:tc>
          <w:tcPr>
            <w:tcW w:w="870" w:type="dxa"/>
            <w:vAlign w:val="bottom"/>
            <w:gridSpan w:val="4"/>
          </w:tcPr>
          <w:p>
            <w:pPr>
              <w:ind w:left="23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$484,556</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870" w:type="dxa"/>
            <w:vAlign w:val="bottom"/>
            <w:gridSpan w:val="4"/>
            <w:shd w:val="clear" w:color="auto" w:fill="CCEEFF"/>
          </w:tcPr>
          <w:p>
            <w:pPr>
              <w:ind w:lef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150" w:type="dxa"/>
            <w:vAlign w:val="bottom"/>
            <w:shd w:val="clear" w:color="auto" w:fill="CCEEFF"/>
          </w:tcPr>
          <w:p>
            <w:pPr>
              <w:spacing w:after="0"/>
              <w:rPr>
                <w:sz w:val="18"/>
                <w:szCs w:val="18"/>
                <w:color w:val="auto"/>
              </w:rPr>
            </w:pPr>
          </w:p>
        </w:tc>
        <w:tc>
          <w:tcPr>
            <w:tcW w:w="870" w:type="dxa"/>
            <w:vAlign w:val="bottom"/>
            <w:gridSpan w:val="4"/>
            <w:shd w:val="clear" w:color="auto" w:fill="CCEEFF"/>
          </w:tcPr>
          <w:p>
            <w:pPr>
              <w:ind w:lef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$485,906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488,006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490" w:type="dxa"/>
            <w:vAlign w:val="bottom"/>
          </w:tcPr>
          <w:p>
            <w:pPr>
              <w:ind w:left="330"/>
              <w:spacing w:after="0"/>
              <w:rPr>
                <w:sz w:val="20"/>
                <w:szCs w:val="20"/>
                <w:color w:val="auto"/>
              </w:rPr>
            </w:pPr>
            <w:r>
              <w:rPr>
                <w:rFonts w:ascii="Arial" w:cs="Arial" w:eastAsia="Arial" w:hAnsi="Arial"/>
                <w:sz w:val="16"/>
                <w:szCs w:val="16"/>
                <w:color w:val="auto"/>
                <w:w w:val="78"/>
              </w:rPr>
              <w:t>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4,115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ind w:left="230"/>
              <w:spacing w:after="0"/>
              <w:rPr>
                <w:sz w:val="20"/>
                <w:szCs w:val="20"/>
                <w:color w:val="auto"/>
              </w:rPr>
            </w:pPr>
            <w:r>
              <w:rPr>
                <w:rFonts w:ascii="Arial" w:cs="Arial" w:eastAsia="Arial" w:hAnsi="Arial"/>
                <w:sz w:val="18"/>
                <w:szCs w:val="18"/>
                <w:color w:val="auto"/>
                <w:w w:val="79"/>
              </w:rPr>
              <w:t>130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50" w:type="dxa"/>
            <w:vAlign w:val="bottom"/>
          </w:tcPr>
          <w:p>
            <w:pPr>
              <w:spacing w:after="0"/>
              <w:rPr>
                <w:sz w:val="18"/>
                <w:szCs w:val="18"/>
                <w:color w:val="auto"/>
              </w:rPr>
            </w:pPr>
          </w:p>
        </w:tc>
        <w:tc>
          <w:tcPr>
            <w:tcW w:w="870" w:type="dxa"/>
            <w:vAlign w:val="bottom"/>
            <w:gridSpan w:val="4"/>
          </w:tcPr>
          <w:p>
            <w:pPr>
              <w:ind w:left="23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50" w:type="dxa"/>
            <w:vAlign w:val="bottom"/>
            <w:shd w:val="clear" w:color="auto" w:fill="CCEEFF"/>
          </w:tcPr>
          <w:p>
            <w:pPr>
              <w:spacing w:after="0"/>
              <w:rPr>
                <w:sz w:val="18"/>
                <w:szCs w:val="18"/>
                <w:color w:val="auto"/>
              </w:rPr>
            </w:pPr>
          </w:p>
        </w:tc>
        <w:tc>
          <w:tcPr>
            <w:tcW w:w="850" w:type="dxa"/>
            <w:vAlign w:val="bottom"/>
            <w:gridSpan w:val="3"/>
            <w:shd w:val="clear" w:color="auto" w:fill="CCEEFF"/>
          </w:tcPr>
          <w:p>
            <w:pPr>
              <w:ind w:left="27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(7,174)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ind w:left="230"/>
              <w:spacing w:after="0"/>
              <w:rPr>
                <w:sz w:val="20"/>
                <w:szCs w:val="20"/>
                <w:color w:val="auto"/>
              </w:rPr>
            </w:pPr>
            <w:r>
              <w:rPr>
                <w:rFonts w:ascii="Arial" w:cs="Arial" w:eastAsia="Arial" w:hAnsi="Arial"/>
                <w:sz w:val="18"/>
                <w:szCs w:val="18"/>
                <w:color w:val="auto"/>
                <w:w w:val="79"/>
              </w:rPr>
              <w:t>146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-1632585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-1632585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-1632585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-1632585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-1632585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-1632585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-1632585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-1632585</wp:posOffset>
            </wp:positionV>
            <wp:extent cx="4584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-1632585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-1632585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-1632585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-1632585</wp:posOffset>
            </wp:positionV>
            <wp:extent cx="4584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4584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third quarter and first nine-months of 2005 and 2004 (in thousands, except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5"/>
                <w:szCs w:val="15"/>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October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210,923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7"/>
              </w:rPr>
              <w:t>Add: Company stock option compensation expense included in net income, net of related tax</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effects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Company stock option compensation expense determined under the fair value based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 for all awards, net of related tax effects</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210,671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21.96</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21.91</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260" w:type="dxa"/>
            <w:vAlign w:val="bottom"/>
            <w:gridSpan w:val="2"/>
          </w:tcPr>
          <w:p>
            <w:pPr>
              <w:jc w:val="right"/>
              <w:ind w:right="13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-875030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-875030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-875030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-875030</wp:posOffset>
            </wp:positionV>
            <wp:extent cx="55308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-875030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-875030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-875030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-875030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-875030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-875030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Under the provisions of the plan, options are issued with an exercise price equal to the estimated fair value of Kaplan’s common stock, and these options vest ratably over the number of years specified (generally four to five years) at the time of grant. Upon exercise, an option holder receives cash equal to the difference between the exercise price and the then fair value. The fair value of Kaplan’s common stock is determined by the Company’s compensation committee of the Board of Directors and in January 2005, the committee set the fair value price at $2,080 per share. Also in January 2005, 15,353 Kaplan stock options were exercised, and 10,582 Kaplan stock options were awarded at an option price of $2,080. At September 30, 2005, there were 63,229 Kaplan stock options outstanding.</w:t>
      </w:r>
    </w:p>
    <w:p>
      <w:pPr>
        <w:spacing w:after="0" w:line="1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third quarter of 2005, the Company reversed a portion of the accrual related to this plan, resulting in a credit of $9.8 million, compared to expense of $5.1 million in the third quarter of 2004, to reflect the anticipated impact that slower growth in Kaplan’s expected operating results and an overall decline in public market values of other education companies will have when the compensation committee sets the value in January 2006. For the first nine months of 2005, the Company recorded expense of $0.2 million, compared to expense of $22.9 million in the first nine months of 2004.</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third quarter and first nine months of 2005 diluted earnings per share amount excludes the effects of 4,000 stock options outstanding as their inclusion would be antidilutive. There were no antidilutive stock options outstanding during the third quarter and first nine months of 2004.</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and Postretirement Plans.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total (income) cost arising from the Company’s defined benefit pension plans for the third quarter and nine months ended October 2, 2005 and September 26,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2004 consists of the following components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5"/>
                <w:szCs w:val="15"/>
                <w:color w:val="auto"/>
              </w:rPr>
            </w:pPr>
          </w:p>
        </w:tc>
        <w:tc>
          <w:tcPr>
            <w:tcW w:w="20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6"/>
              </w:rPr>
              <w:t>October 2,</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October 2,</w:t>
            </w: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$ 21,250</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30,561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(28,063)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(25,086)</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(1,963)</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(3,157)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benefit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(27,133)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60" w:type="dxa"/>
            <w:vAlign w:val="bottom"/>
            <w:vMerge w:val="restart"/>
          </w:tcPr>
          <w:p>
            <w:pPr>
              <w:jc w:val="right"/>
              <w:ind w:right="3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55308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total (income) cost arising from the Company’s postretirement plans for the third quarter and nine months ended October 2, 2005 and September 26, 2004, consists of the following components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40" w:type="dxa"/>
            <w:vAlign w:val="bottom"/>
            <w:gridSpan w:val="4"/>
          </w:tcPr>
          <w:p>
            <w:pPr>
              <w:ind w:left="1920"/>
              <w:spacing w:after="0"/>
              <w:rPr>
                <w:sz w:val="20"/>
                <w:szCs w:val="20"/>
                <w:color w:val="auto"/>
              </w:rPr>
            </w:pPr>
            <w:r>
              <w:rPr>
                <w:rFonts w:ascii="Arial" w:cs="Arial" w:eastAsia="Arial" w:hAnsi="Arial"/>
                <w:sz w:val="14"/>
                <w:szCs w:val="14"/>
                <w:b w:val="1"/>
                <w:bCs w:val="1"/>
                <w:color w:val="auto"/>
              </w:rPr>
              <w:t>October 2,</w:t>
            </w:r>
          </w:p>
        </w:tc>
        <w:tc>
          <w:tcPr>
            <w:tcW w:w="138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26,</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October 2,</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9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8"/>
              <w:spacing w:after="0"/>
              <w:rPr>
                <w:sz w:val="20"/>
                <w:szCs w:val="20"/>
                <w:color w:val="auto"/>
              </w:rPr>
            </w:pPr>
            <w:r>
              <w:rPr>
                <w:rFonts w:ascii="Arial" w:cs="Arial" w:eastAsia="Arial" w:hAnsi="Arial"/>
                <w:sz w:val="14"/>
                <w:szCs w:val="14"/>
                <w:b w:val="1"/>
                <w:bCs w:val="1"/>
                <w:color w:val="auto"/>
                <w:w w:val="96"/>
              </w:rPr>
              <w:t>2005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spacing w:after="0"/>
              <w:rPr>
                <w:sz w:val="18"/>
                <w:szCs w:val="18"/>
                <w:color w:val="auto"/>
              </w:rPr>
            </w:pPr>
          </w:p>
        </w:tc>
        <w:tc>
          <w:tcPr>
            <w:tcW w:w="39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20"/>
                <w:szCs w:val="20"/>
                <w:color w:val="auto"/>
              </w:rPr>
            </w:pPr>
          </w:p>
        </w:tc>
        <w:tc>
          <w:tcPr>
            <w:tcW w:w="130" w:type="dxa"/>
            <w:vAlign w:val="bottom"/>
            <w:shd w:val="clear" w:color="auto" w:fill="CCEEFF"/>
          </w:tcPr>
          <w:p>
            <w:pPr>
              <w:spacing w:after="0"/>
              <w:rPr>
                <w:sz w:val="20"/>
                <w:szCs w:val="20"/>
                <w:color w:val="auto"/>
              </w:rPr>
            </w:pPr>
          </w:p>
        </w:tc>
        <w:tc>
          <w:tcPr>
            <w:tcW w:w="99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9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20" w:type="dxa"/>
            <w:vAlign w:val="bottom"/>
            <w:shd w:val="clear" w:color="auto" w:fill="CCEEFF"/>
          </w:tcPr>
          <w:p>
            <w:pPr>
              <w:spacing w:after="0"/>
              <w:rPr>
                <w:sz w:val="18"/>
                <w:szCs w:val="18"/>
                <w:color w:val="auto"/>
              </w:rPr>
            </w:pPr>
          </w:p>
        </w:tc>
        <w:tc>
          <w:tcPr>
            <w:tcW w:w="39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-29210</wp:posOffset>
            </wp:positionV>
            <wp:extent cx="41592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9921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99210"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expected rate of return on plan assets is 7.5% in 2005. At January 2, 2005, the Company reduced its assumption on the discount rate from 6.25% to 5.75% for both its pension plans and postretirement plans. During the first quarter of 2005, the Company changed from the 1983 Group Annuity Mortality Table to the 1994 Group Annuity Mortality Table, for its pension plans. These assumption changes are estimated to cause an approximate $7 million reduction in the 2005 pension credit. Overall, the pension credit for 2005 is expected to be down by approximately $4 million compared to 2004.</w:t>
      </w:r>
    </w:p>
    <w:p>
      <w:pPr>
        <w:spacing w:after="0" w:line="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concluded that the Act is not significant to the Company’s other postretirement plans; therefore, the effects of the Act were incorporated into the latest valuation of December 31, 2004. Overall, the Company’s Postretirement benefit obligation was reduced by about $4.0 million at January 2, 2005 as a result of the Act; the Company’s postretirement expense is expected to be reduced by about $0.5 million in fiscal year 2005 as a result of the Act.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 Hurricane Losses</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cable division was significantly impacted by Hurricane Katrina in the third quarter of 2005. About 94,000 of the cable division’s pre-hurricane subscribers were located on the Gulf Coast of Mississippi, including Gulfport, Biloxi, Pascagoula and other neighboring communities where storm damage was significant. Through the end of the third quarter of 2005, the Company recorded an estimated $9.9 million loss of property, plant and equipment, incurred an estimated $4.2 million in incremental clean-up, repair and other expenses in connection with the hurricane, and experienced an estimated $4.4 million reduction in operating income from granting a 30-day service credit to all its 94,000 pre-hurricane Gulf Coast subscribers; additional costs related to the hurricane recovery will continue to be incurred in the fourth quarter of 2005. The Company has property and business interruption insurance that is expected to cover some of these losses. The Company has not recorded any estimated insurance recovery amount as of the end of the third quarter of 2005 as the Company is in the early stages of preparing its insurance claim.</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10 – Other Non-Operating Income (Expense)</w:t>
      </w:r>
    </w:p>
    <w:p>
      <w:pPr>
        <w:spacing w:after="0" w:line="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recorded other non-operating expense, net, of $6.9 million for the third quarter of 2005, compared to $0.9 million for the third quarter of 2004. For the first nine months of 2005 and 2004, the Company recorded other non-operating income, net, of $10.3 million and $1.5 million,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thirty-nine weeks ended October 2, 2005 and September 26, 2004,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w w:val="99"/>
              </w:rPr>
              <w:t>Thirteen Weeks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October 2,</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2005</w:t>
            </w:r>
          </w:p>
        </w:tc>
        <w:tc>
          <w:tcPr>
            <w:tcW w:w="6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2005</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Gains on sale of marketable equity securities</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(0.2)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6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-29210</wp:posOffset>
            </wp:positionV>
            <wp:extent cx="41592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41592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11: Contingencies.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29, 2005, Kaplan was named as a party in a proposed class action antitrust lawsuit in California. At this stage, the Company cannot reasonably estimate any possible loss associated with this lawsuit. The Company intends to defend the lawsuit vigorously.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12: Recent Accounting Pronouncements.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2004, Statement of Financial Accounting Standards No. 123R (SFAS 123R), “Shared Based Payment” was issued, which requires companies to record the cost of employee services in exchange for stock options based on the grant-date fair value of the award. Because the Company adopted the fair-value-based method of accounting for Company stock options in 2002, SFAS 123R will have a minimal impact on the Company’s results of operations when adopted in the first quarter of 2006.</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EITF Topic D-108, “Use of the Residual Method to Value Acquired Assets Other than Goodwill,” requires companies that have applied the residual method to value intangible assets to perform an impairment test on those intangible assets using the direct method by the end of the first quarter of 2005. As a result, the Company was required to complete such an impairment test at its cable division in the first quarter of 2005, and the Company has concluded that no impairment charge was required.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780" w:hanging="4"/>
        <w:spacing w:after="0" w:line="398" w:lineRule="auto"/>
        <w:rPr>
          <w:sz w:val="20"/>
          <w:szCs w:val="20"/>
          <w:color w:val="auto"/>
        </w:rPr>
      </w:pPr>
      <w:r>
        <w:rPr>
          <w:rFonts w:ascii="Arial" w:cs="Arial" w:eastAsia="Arial" w:hAnsi="Arial"/>
          <w:sz w:val="15"/>
          <w:szCs w:val="15"/>
          <w:b w:val="1"/>
          <w:bCs w:val="1"/>
          <w:color w:val="auto"/>
        </w:rPr>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spacing w:after="0" w:line="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income for the third quarter of 2005 was $66.6 million ($6.89 per share), down from net income of $82.5 million ($8.57 per share) for the third quarter of last year.</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Operating results for the cable division in the third quarter of 2005 include the impact of charges and lost revenues associated with Hurricane Katrina; the Company estimates that the adverse impact on operating income was approximately $18.5 million (after-tax impact of $11.2 million, or $1.17 per share). Third quarter results also include non-operating gains from the sales of marketable securities (after-tax impact of $5.2 million, or $0.54 per share).</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About 94,000 of the cable division’s pre-hurricane subscribers were located on the Gulf Coast of Mississippi, including Gulfport, Biloxi, Pascagoula and other neighboring communities where storm damage was significant. Through the end of the third quarter of 2005, the Company recorded an estimated $9.9 million loss of property, plant and equipment, incurred an estimated $4.2 million in incremental clean-up, repair and other expenses in connection with the hurricane, and experienced an estimated $4.4 million reduction in operating income from granting a 30-day service credit to all its 94,000 pre-hurricane Gulf Coast subscribers; additional costs related to the hurricane recovery will continue to be incurred in the fourth quarter of 2005. The Company has property and business interruption insurance that is expected to cover some of these losses. The Company has not recorded any estimated insurance recovery amount as of the end of the third quarter of 2005 as the Company is in the early stages of preparing its insurance claim.</w:t>
      </w:r>
    </w:p>
    <w:p>
      <w:pPr>
        <w:spacing w:after="0" w:line="1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 for the third quarter of 2005 was $873.7 million, up 7% from $820.0 million in 2004. The increase is due mostly to significant revenue growth at the education division, along with increased revenues at the Company’s newspaper publishing division. Revenues were down at the Company’s television broadcasting, magazine publishing and cable divisions in the third quarter of 2005.</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Despite the revenue increases, operating income was down 20% for the third quarter of 2005 to $112.4 million, from $140.3 million in 2004. The Company’s earnings were adversely impacted by declines at the cable, television broadcasting, newspaper publishing and magazine publishing divisions. A significant portion of the decline in operating income is due to the impact of the hurricane, particularly at the cable division, discussed above. The operating income decline was offset by improved results at the Company’s education division, which benefited from a credit of $9.8 million due to the reversal of a portion of the accrual related to Kaplan’s stock option plan, compared to expense of $5.1 million in the third quarter of 2004.</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first nine months of 2005, net income totaled $211.9 million ($21.93 per share), compared with $226.8 million ($23.54 per share) for the same period of 2004.</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the adverse impact of the hurricane on cable results, results for the first nine months of 2005 include non-operating gains from the sales of non-operating land and marketable securities (after-tax impact of $10.4 million, or $1.08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Revenue for the first nine months of 2005 was $2,605.2 million, up 9% over revenue of $2,397.4 million for the first nine months of 2004. The increase is due mostly to significant revenue growth at the education division, along with increased revenues at the Company’s newspaper publishing and cable divisions. Revenues were down at the Company’s television broadcasting and magazine publishing divisions.</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declined 8% to $358.1 million, from $391.2 million in 2004, due to lower earnings at the Company’s cable, television broadcasting, magazine publishing and newspaper publishing divisions, offset by increased earnings at the Company’s education division. A large portion of the decline in operating income is due to the impact of the hurricane, particularly at the cable division, discussed above.</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Excluding charges related to early retirement programs, the Company’s operating income for the third quarter and first nine months of 2005 includes $9.9 million and $28.2 million of net pension credits, respectively, compared to $10.9 million and $31.0 million for the same periods of 2004. At January 2, 2005, the Company reduced its assumption on the discount rate from 6.25% to 5.75% and, during the first quarter of 2005, the Company changed to a more current Mortality Table. Overall, the pension credit for 2005 is expected to be down by approximately $4 million compared to 2004.</w:t>
      </w:r>
    </w:p>
    <w:p>
      <w:pPr>
        <w:spacing w:after="0" w:line="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$235.5 million for the third quarter of 2005, an increase of 5% from $224.9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third quarter of 2004; division revenue increased 4% to $704.9 million for the first nine months of 2005, from $677.7 million for the first nine months of 2004. Division operating income for the third quarter declined 5% to $28.6 million, from $30.0 million in the third quarter of 2004; operating income decreased 13% to $87.0 million for the first nine months of 2005, compared to $99.6 million for the first nine months of 2004. The third quarter and year-to-date declines in operating income reflect a 7% and 8% increase, respectively, in newsprint expense at The Post, as well as increased pension and payroll costs; in addition, operating results for 2005 include losses from the recent Slate acquisition. The declines were offset by improved results at Washingtonpost.Newsweek Interactive.</w:t>
      </w:r>
    </w:p>
    <w:p>
      <w:pPr>
        <w:spacing w:after="0" w:line="13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Print advertising revenue at The Washington Post newspaper in the third quarter increased 3% to $145.3 million, from $140.9 million in 2004, and increased 1% to $437.6 million for the first nine months of 2005, from $433.1 million for the first nine months of 2004. The increase in print advertising revenues for the third quarter and first nine months of 2005 is primarily due to increases in zoned, classified and retail advertising, which more than offset the continued decline in national and supplements advertising. Classified recruitment advertising revenue rose 10% to $22.1 million in the third quarter of 2005, from $20.1 million in the third quarter of 2004, and was up 8% to $63.4 million in the first nine months of 2005, compared to $58.7 million in the first nine months of 2004.</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nine months of 2005, Post daily and Sunday circulation each declined 3.9% compared to the same period of the prior year. For the nine months ended October 2, 2005, average daily circulation at The Post totaled 681,600 and average Sunday circulation totaled 974,900.</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generated by the Company’s online publishing activities (including Slate, which was acquired in January 2005), primarily washingtonpost.com, increased 24% to $19.8 million for the third quarter of 2005, from $15.9 million in the third quarter of 2004; online revenues increased 24% to $55.5 million for the first nine months of 2005, from $44.7 million in the first nine months of 2004. Local and national online advertising revenues grew 32% and 36% for the third quarter and first nine months of 2005, respectively. Online classified advertising revenue on washingtonpost.com increased 26% in the third quarter of 2005 and 22% for the first nine months of 2005.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declined 19% in the third quarter of 2005 to $74.0 million, from $91.4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2004, due primarily to strong third quarter 2004 revenues that included $9.6 million in political advertising and $8.0 million in incremental summer Olympics-related advertising at the Company’s NBC affiliates. For the first nine months of 2005, revenue decreased 6% to $241.7 million, from $257.9 million in 2004, which included $16.8 million in political advertising and $8.0 million in incremental Olympics-related advertising at the Company’s NBC affiliates.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for the third quarter and first nine months of 2005 decreased 38% and 15%, respectively, to $27.0 million and $100.9 million, respectively, from $43.4 million and $118.3 million for the third quarter and first nine months of 2004, respectively. The operating income declines are primarily related to the absence of significant political and Olympics revenue in 2005, as discussed above.</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$78.1 million for the third quarter of 2005, an 8% decrease from $85.2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2004; division revenue totaled $245.9 million for the first nine months of 2005, a 6% decrease from $260.8 million for the first nine months of 2004. Advertising revenue at Newsweek was down 11% in the third quarter of 2005 due to fewer ad pages at the domestic edition. The decline in revenues for the first nine months of 2005 reflects the weak domestic and international advertising environment at Newsweek, particularly in the first quarter of 2005; overall, Newsweek advertising revenues are down 11% for the first nine months of 2005.</w:t>
      </w:r>
    </w:p>
    <w:p>
      <w:pPr>
        <w:spacing w:after="0" w:line="10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Operating income totaled $11.3 million for the third quarter of 2005, a slight decrease from $11.4 million in the third quarter of 2004, due primarily to a $1.3 million early retirement charge at Newsweek International. Operating income totaled $26.2 million for the first nine months of 2005, down 27% from $35.9 million for the first nine months of 2004, due primarily to revenue reductions at Newsweek discussed above.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Cable Television Division</w:t>
      </w:r>
      <w:r>
        <w:rPr>
          <w:rFonts w:ascii="Arial" w:cs="Arial" w:eastAsia="Arial" w:hAnsi="Arial"/>
          <w:sz w:val="16"/>
          <w:szCs w:val="16"/>
          <w:color w:val="auto"/>
        </w:rPr>
        <w:t>. Cable division revenue of $123.2 million for the third quarter of 2005 represents a 1% decline over 2004 third quarter revenue of</w:t>
      </w:r>
    </w:p>
    <w:p>
      <w:pPr>
        <w:spacing w:after="0" w:line="4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$124.9 million; for the first nine months of 2005, revenue increased 2% to $378.7 million, from $372.3 million in 2004. Hurricane Katrina had a large impact on cable division revenues in the third quarter of 2005. About 94,000 of the cable division’s pre-hurricane subscribers were located on the Gulf Coast of Mississippi, including Gulfport, Biloxi, Pascagoula and other neighboring communities where storm damage was significant. Revenues for the third quarter were adversely impacted by approximately $6.2 million due to lost revenues from a 30-day service credit granted to the 94,000 pre-hurricane Gulf Coast subscribers; this was offset by increased growth in the division’s cable modem revenues. Also, the Company does not plan to implement an overall basic rate increase in 2005.</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Cable division operating income for the third quarter of 2005 was $4.9 million, compared to operating income of $24.5 million for the third quarter of 2004; cable division operating income for the first nine months of 2005 was $51.9 million, compared to $72.4 million for the first nine months of 2004. The decline in third quarter operating income is due mostly to the hurricane, which had an estimated adverse impact of $18.5 million on the cable division’s results. Through the third quarter of 2005, the Company recorded an estimated $9.9 million loss of property, plant and equipment, incurred an estimated $4.2 million in incremental clean-up, repair and other expenses associated with the hurricane, and experienced an estimated $4.4 million reduction in operating income from granting a 30-day service credit to all its 94,000 pre-hurricane Gulf Coast subscribers. The decrease in operating income is also due to higher depreciation, programming and customer service costs.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At September 30, 2005, the cable division had approximately 213,900 digital cable subscribers (compared to 220,500 at the end of September 2004 and 219,200 at the end of 2004), representing a 31% penetration of the subscriber base. The Company estimates a decline of 8,000 digital subscribers as a result of the hurricane. At September 30, 2005, the cable division had approximately 219,900 CableONE.net service subscribers, compared to 165,600 at the end of September 2004. The Company estimates a decline of 6,200 CableONE.net service subscribers as a result of the hurricane. Both digital and cable modem services are now offered in virtually all of the cable division’s markets. At September 30, 2005, the cable division had approximately 687,400 basic subscribers, compared to 712,800 at the end of September 2004 and 709,100 at the end of December 2004. The Company estimates a decline of 21,200 basic subscribers as a result of the hurricane. These cable subscriber estimates include customers who were temporarily out of service as of September 30, 2005. Repair efforts to the cable plant associated with the hurricane have proceeded rapidly and, as of the end of October 2005, almost all of the surviving households in the Gulf Coast region are now receiving cable service. The estimated hurricane-related basic, digital and cable modem subscriber losses are from destroyed or severely damaged homes.</w:t>
      </w:r>
    </w:p>
    <w:p>
      <w:pPr>
        <w:spacing w:after="0" w:line="9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September 30, 2005, Revenue Generating Units (the sum of basic video, digital video and cable modem subscribers) totaled 1,121,300 compared to 1,098,900 as of September 30, 2004. The increase is due to growth in high-speed data customers, offset by an approximate 35,400 RGU reduction due to the hurricane. RGUs include about 7,000 subscribers who receive free basic cable service, primarily local governments, schools and other organizations as required by the various franchise agreements.</w:t>
      </w:r>
    </w:p>
    <w:p>
      <w:pPr>
        <w:spacing w:after="0" w:line="13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Below are details of Cable division capital expenditures for the nine months of 2005 and 2004, as defined by the NCTA Standard Reporting Categories (in millions):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Line Extensions</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Support Capital</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26.2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6162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Education Division</w:t>
      </w:r>
      <w:r>
        <w:rPr>
          <w:rFonts w:ascii="Arial" w:cs="Arial" w:eastAsia="Arial" w:hAnsi="Arial"/>
          <w:sz w:val="18"/>
          <w:szCs w:val="18"/>
          <w:color w:val="auto"/>
        </w:rPr>
        <w:t>. Education division revenue totaled $362.8 million for the third quarter of 2005, a 24% increase over revenue of $293.6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2004. Excluding revenue from acquired businesses, primarily in the higher education division and the professional training schools that are part of supplemental education, education division revenue increased 16% for the third quarter of 2005. Kaplan reported operating income for the third quarter of 2005 of $48.5 million, an increase of 28% from $38.0 million in the third quarter of 2004. For the first nine months of 2005, education division revenue totaled $1,034.0 million, a 25% increase over revenue of $828.6 million for the same period of 2004. Excluding revenue from acquired businesses, primarily in the higher education division and the professional training schools that are part of supplemental education, education division revenue increased 19% for the first nine months of 2005. Kaplan reported operating income of $115.3 million for the first nine months of 2005, an increase of 31% from $88.1 million for the first nine months of 2004.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operating results for the third quarter and the first nine months of 2005 compared to 2004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Third Quarter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5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181,228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151,093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510,272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430,103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142,528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523,713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398,485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362,822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293,621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1,033,985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828,588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34,212</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32,894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88,112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78,588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(8,937)</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(28,069)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(24,127)</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(30,083)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-1304925</wp:posOffset>
            </wp:positionV>
            <wp:extent cx="348615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8615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-172720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-172720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93916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credits (charges) for stock-based incentive compensation and amortization of certain intangibles.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In April 2005, Kaplan Professional completed the acquisition of BISYS Education Services, a provider of licensing education and compliance solutions for financial services institutions and professionals. In August 2005, Kaplan completed the acquisition of The Kidum Group, the leading provider of test preparation services in Israel. Excluding revenue from acquired businesses, supplemental education revenues grew by 11% and 13% for the third quarter and first nine months of 2005, respectively. The improvement in supplemental education results for the first nine months of 2005 is due to growth at Kaplan’s test preparation business (particularly the K12 business), the professional real estate courses and The Financial Training Company U.K. accountancy programs, as well as the BISYS acquisition. These results were offset by soft market demand for Kaplan Professional’s securities and insurance course offerings. While there was a slight increase in revenues at Score! compared to the first nine months of 2004, there was a drop in operating income. There were 167 Score! centers at the end of September 2005 compared to 160 at the end of September 2004.</w:t>
      </w:r>
    </w:p>
    <w:p>
      <w:pPr>
        <w:spacing w:after="0" w:line="10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Excluding revenue from acquired businesses, higher education revenues grew by 21% and 26% in the third quarter and first nine months of 2005, respectively. Higher education enrollments have increased by 16% at September 30, 2005, compared to enrollments at September 30, 2004, with most of the new enrollment growth occurring in the online programs. Increased operating costs associated with expansion activities at both the online and the fixed-facility operations, including new program offerings and higher facility and advertising expenses, have contributed significantly to the third quarter and year-to-date declines in operating income. In May 2005, Kaplan acquired Singapore-based Asia Pacific Management Institute (APMI), a private education provider for undergraduate and postgraduate students in Asia.</w:t>
      </w:r>
    </w:p>
    <w:p>
      <w:pPr>
        <w:spacing w:after="0" w:line="10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Corporate overhead represents unallocated expenses of Kaplan, Inc.’s corporate office, which rose in the first nine months of 2005 due to higher overall operating costs. In the third quarter of 2005, certain estimated incentive compensation liabilities were reduced, resulting in a decline for the quarter.</w:t>
      </w:r>
    </w:p>
    <w:p>
      <w:pPr>
        <w:spacing w:after="0" w:line="7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Other comprises (credits) charges for stock-based incentive compensation arising from a stock option plan established for certain members of Kaplan’s management and amortization of certain intangibles. Under the stock-based incentive plan,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amount of compensation (credit) expense varies directly with the estimated fair value of Kaplan’s common stock and the number of options outstanding. For the third quarter of 2005, the Company reversed a portion of the accrual related to this plan, resulting in a credit of $9.8 million, compared to expense of $5.1 million in the third quarter of 2004, to reflect slower growth in Kaplan’s expected operating results and an overall decline in public market values of other education companies. For the first nine months of 2005, the Company recorded expense of $0.2 million, compared to expense of $22.9 million in the first nine months of 2004, related to this plan.</w:t>
      </w:r>
    </w:p>
    <w:p>
      <w:pPr>
        <w:spacing w:after="0" w:line="12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Equity in Losses of Affiliates</w:t>
      </w:r>
      <w:r>
        <w:rPr>
          <w:rFonts w:ascii="Arial" w:cs="Arial" w:eastAsia="Arial" w:hAnsi="Arial"/>
          <w:sz w:val="18"/>
          <w:szCs w:val="18"/>
          <w:color w:val="auto"/>
        </w:rPr>
        <w:t>. The Company’s equity in losses of affiliates for the third quarter of 2005 was $1.0 million, compared to earnings of $0.5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third quarter of 2004. For the first nine months of 2005, the Company’s equity in losses of affiliates totaled $1.1 million, compared to losses of $1.5 million for the same period of 2004. The Company’s affiliate investments consist of a 49% interest in BrassRing LLC and a 49% interest in Bowater Mersey Paper Company Limited.</w:t>
      </w:r>
    </w:p>
    <w:p>
      <w:pPr>
        <w:spacing w:after="0" w:line="123"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Other Non-Operating Income</w:t>
      </w:r>
      <w:r>
        <w:rPr>
          <w:rFonts w:ascii="Arial" w:cs="Arial" w:eastAsia="Arial" w:hAnsi="Arial"/>
          <w:sz w:val="16"/>
          <w:szCs w:val="16"/>
          <w:color w:val="auto"/>
        </w:rPr>
        <w:t>. The Company recorded other non-operating income, net, of $6.9 million for the third quarter of 2005, compared to $0.9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non-operating income, net, in the third quarter of 2004. The third quarter 2005 non-operating income, net, includes $8.6 million in pre-tax gains related to the sale of marketable securities, offset by foreign currency losses of $1.6 million and other non-operating items.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recorded other non-operating income, net, of $10.3 million for the first nine months of 2005, compared to other non-operating income, net, of $1.5 million for the same period of the prior year. The 2005 non-operating income is comprised of pre-tax gains of $17.1 million related to the sales of non-operating land and marketable securities, offset by foreign currency losses of $6.2 million and other non-operating items.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thirty-nine weeks ended October 2, 2005 and September 26, 2004, follows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(0.7)</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Foreign currency (losses) gains,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(6.2)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-27305</wp:posOffset>
            </wp:positionV>
            <wp:extent cx="28702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-27305</wp:posOffset>
            </wp:positionV>
            <wp:extent cx="2698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$6.9 million and $18.7 million for the third quarter and first nine months of 2005,</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$6.5 million and $19.4 million for the same periods of 2004. At October 2, 2005, the Company had $429.1 million in borrowings outstanding at an average interest rate of 5.5%.</w:t>
      </w:r>
    </w:p>
    <w:p>
      <w:pPr>
        <w:spacing w:after="0" w:line="1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third quarter and first nine months of 2005 was 40.2% and 39.2%, respectively, compared to 39.0% for</w:t>
      </w:r>
      <w:r>
        <w:rPr>
          <w:rFonts w:ascii="Arial" w:cs="Arial" w:eastAsia="Arial" w:hAnsi="Arial"/>
          <w:sz w:val="18"/>
          <w:szCs w:val="18"/>
          <w:b w:val="1"/>
          <w:bCs w:val="1"/>
          <w:color w:val="auto"/>
        </w:rPr>
        <w:t xml:space="preserve"> </w:t>
      </w:r>
      <w:r>
        <w:rPr>
          <w:rFonts w:ascii="Arial" w:cs="Arial" w:eastAsia="Arial" w:hAnsi="Arial"/>
          <w:sz w:val="18"/>
          <w:szCs w:val="18"/>
          <w:color w:val="auto"/>
        </w:rPr>
        <w:t>both periods of 2004.</w:t>
      </w:r>
    </w:p>
    <w:p>
      <w:pPr>
        <w:spacing w:after="0" w:line="10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third quarter and first nine months of 2005 was based on 9,618,000 and 9,616,000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average shares outstanding, respectively, compared to 9,598,000 and 9,591,000, respectively, for the third quarter and first nine months of 2004. The Company made no significant repurchases of its stock during the first nine months of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third quarter of 2005, Kaplan acquired two businesses in the test preparation division, totaling $38.4 million, financed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cash. This included the acquisition of The Kidum Group, the leading provider of test preparation services in Israel. In the second quarter of 2005, Kaplan acquired five businesses in their higher education and professional divisions totaling $83.1 million.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 Most of the purchase price for these acquisitions has been allocated to goodwill and other intangibles on a preliminary basis.</w:t>
      </w:r>
    </w:p>
    <w:p>
      <w:pPr>
        <w:spacing w:after="0" w:line="10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2005, the Company’s capital expenditures totaled $164.7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$225 million to $250 million in 2005.</w:t>
      </w:r>
    </w:p>
    <w:p>
      <w:pPr>
        <w:spacing w:after="0" w:line="10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nine months of 2005, the Company’s borrowings, net of repayments, decreased by $55.0 million, with the decrease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cash flows from operations.</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October 2, 2005, the Company had $429.1 million in total debt outstanding, which comprised $399.1 million of 5.5 percent unsecured notes due February 15, 2009, and $30.0 million in other debt. As of October 2, 2005, the Company has commercial paper investments of $57.8 million that are classified as “cash and cash equivalents” on the Company’s consolidated balance sheet.</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third quarter of 2005 and 2004, the Company had average borrowings outstanding of approximately $433.3 million and $490.1 million, respectively, at average annual interest rates of approximately 5.4 percent and 5.0 percent, respectively. During the third quarter of 2005 and 2004, the Company incurred net interest expense of $6.9 million and $6.5 million, respectively.</w:t>
      </w:r>
    </w:p>
    <w:p>
      <w:pPr>
        <w:spacing w:after="0" w:line="127"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During the first nine months of 2005 and 2004, the Company had average borrowings outstanding of approximately $446.0 million and $532.9 million, respectively, at average annual interest rates of approximately 4.8 percent and 4.7 percent, respectively. During the first nine months of 2005 and 2004, the Company incurred net interest expense on borrowings of $18.7 million and $19.4 million, respectively.</w:t>
      </w:r>
    </w:p>
    <w:p>
      <w:pPr>
        <w:spacing w:after="0" w:line="93"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At October 2, 2005 and January 2, 2005, the Company has working capital of $23.0 million and $66.2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internally generated funds and, to a lesser extent, commercial paper borrowings. In management’s opinion, the Company will have ample liquidity to meet its various cash needs throughout 2005.</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noted above, the Company’s borrowings have declined by $55.0 million, to $429.1 million, as compared to borrowings of $484.1 million at January 2, 2005. In the first nine months of 2005, the Company executed a building lease amendment and made other commitments aggregating about $37.7 million from 2005 through 2015. There were no other significant changes to the Company’s contractual obligations or other commercial commitments from those disclosed in the Company’s Annual Report on Form 10-K for the year ended January 2,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2,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is exposed to market risk in the normal course of its business due primarily to its ownership of marketable equity securities, which are subject to equity price risk, and to its borrowing activities, which are subject to interest rate risk. As of October 2, 2005, the Company had paid off its commercial paper borrowings and had commercial paper investments of $57.8 million, which are also subject to interest rate risk. The Company’s market risk disclosures set forth in its 2004 Annual Report filed on Form 10-K have not otherwise changed significantly.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October 2, 2005.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0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October 2, 2005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0547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8" w:lineRule="exact"/>
        <w:rPr>
          <w:sz w:val="20"/>
          <w:szCs w:val="20"/>
          <w:color w:val="auto"/>
        </w:rPr>
      </w:pPr>
    </w:p>
    <w:p>
      <w:pPr>
        <w:ind w:left="820" w:right="200" w:hanging="622"/>
        <w:spacing w:after="0" w:line="268"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dated November 13, 2003 (incorporated by reference to Exhibit 3.1 to the Company’s Annual Report on Form 10-K for the fiscal year ended December 28, 2003).</w:t>
      </w:r>
    </w:p>
    <w:p>
      <w:pPr>
        <w:spacing w:after="0" w:line="78" w:lineRule="exact"/>
        <w:rPr>
          <w:sz w:val="20"/>
          <w:szCs w:val="20"/>
          <w:color w:val="auto"/>
        </w:rPr>
      </w:pPr>
    </w:p>
    <w:p>
      <w:pPr>
        <w:ind w:left="820" w:right="660" w:hanging="622"/>
        <w:spacing w:after="0" w:line="268"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for the Company’s Series A Preferred Stock dated September 22, 2003 (incorporated by reference to Exhibit 3.2 to Amendment No. 1 to the Company’s Current Report on Form 8-K dated September 22, 2003).</w:t>
      </w:r>
    </w:p>
    <w:p>
      <w:pPr>
        <w:spacing w:after="0" w:line="78" w:lineRule="exact"/>
        <w:rPr>
          <w:sz w:val="20"/>
          <w:szCs w:val="20"/>
          <w:color w:val="auto"/>
        </w:rPr>
      </w:pPr>
    </w:p>
    <w:p>
      <w:pPr>
        <w:ind w:left="820" w:right="200" w:hanging="622"/>
        <w:spacing w:after="0" w:line="268"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By-Laws of the Company as amended and restated through September 22, 2003 (incorporated by reference to Exhibit 3.4 to the Company’s Current Report on Form 8-K dated September 22, 2003).</w:t>
      </w:r>
    </w:p>
    <w:p>
      <w:pPr>
        <w:spacing w:after="0" w:line="78" w:lineRule="exact"/>
        <w:rPr>
          <w:sz w:val="20"/>
          <w:szCs w:val="20"/>
          <w:color w:val="auto"/>
        </w:rPr>
      </w:pPr>
    </w:p>
    <w:p>
      <w:pPr>
        <w:ind w:left="820" w:hanging="622"/>
        <w:spacing w:after="0" w:line="25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86" w:lineRule="exact"/>
        <w:rPr>
          <w:sz w:val="20"/>
          <w:szCs w:val="20"/>
          <w:color w:val="auto"/>
        </w:rPr>
      </w:pPr>
    </w:p>
    <w:p>
      <w:pPr>
        <w:ind w:left="820" w:right="100" w:hanging="622"/>
        <w:spacing w:after="0" w:line="26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dated as of February 17, 1999, between the Company and The First National Bank of Chicago, as Trustee (incorporated by reference to the Company’s Annual Report on Form 10-K for the fiscal year ended January 3, 1999).</w:t>
      </w:r>
    </w:p>
    <w:p>
      <w:pPr>
        <w:spacing w:after="0" w:line="78" w:lineRule="exact"/>
        <w:rPr>
          <w:sz w:val="20"/>
          <w:szCs w:val="20"/>
          <w:color w:val="auto"/>
        </w:rPr>
      </w:pPr>
    </w:p>
    <w:p>
      <w:pPr>
        <w:jc w:val="both"/>
        <w:ind w:left="820" w:right="60" w:hanging="622"/>
        <w:spacing w:after="0" w:line="335"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34" w:lineRule="exact"/>
        <w:rPr>
          <w:sz w:val="20"/>
          <w:szCs w:val="20"/>
          <w:color w:val="auto"/>
        </w:rPr>
      </w:pPr>
    </w:p>
    <w:p>
      <w:pPr>
        <w:jc w:val="both"/>
        <w:ind w:left="820" w:right="520" w:hanging="622"/>
        <w:spacing w:after="0" w:line="259"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364-Day Credit Agreement dated as of August 10, 2005, among the Company, Citibank, N.A., JP Morgan Chase Bank, N.A., Wachovia Bank, National Association, SunTrust Bank, The Bank of New York and PNC Bank, N.A. (incorporated by reference to Exhibit 4.1 to the Company’s Current Report on Form 8-K dated August 12, 2005).</w:t>
      </w:r>
    </w:p>
    <w:p>
      <w:pPr>
        <w:spacing w:after="0" w:line="86" w:lineRule="exact"/>
        <w:rPr>
          <w:sz w:val="20"/>
          <w:szCs w:val="20"/>
          <w:color w:val="auto"/>
        </w:rPr>
      </w:pPr>
    </w:p>
    <w:p>
      <w:pPr>
        <w:jc w:val="both"/>
        <w:ind w:left="820" w:right="100" w:hanging="622"/>
        <w:spacing w:after="0" w:line="259" w:lineRule="auto"/>
        <w:tabs>
          <w:tab w:leader="none" w:pos="8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5-Year Credit Agreement dated as of August 14, 2002, among the Company, Citibank, N.A., Wachovia Bank, N.A., SunTrust Bank, Bank One, N.A., JP Morgan Chase Bank, The Bank of New York and Riggs Bank, N.A. (incorporated by reference to Exhibit 4.4 to the Company’s Quarterly Report on Form 10-Q for the quarter ended September 29, 2002).</w:t>
      </w:r>
    </w:p>
    <w:p>
      <w:pPr>
        <w:spacing w:after="0" w:line="86" w:lineRule="exact"/>
        <w:rPr>
          <w:sz w:val="20"/>
          <w:szCs w:val="20"/>
          <w:color w:val="auto"/>
        </w:rPr>
      </w:pPr>
    </w:p>
    <w:p>
      <w:pPr>
        <w:ind w:left="820" w:right="340" w:hanging="622"/>
        <w:spacing w:after="0" w:line="259" w:lineRule="auto"/>
        <w:tabs>
          <w:tab w:leader="none" w:pos="8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Consent and Amendment No. 1 dated as of August 13, 2003, to the 5-Year Credit Agreement dated as of August 14, 2002, among the Company, Citibank, N.A. and the other lenders that are parties to such Credit Agreement (incorporated by reference to Exhibit 4.3 to the Company’s Current Report on Form 8-K dated September 22, 2003).</w:t>
      </w:r>
    </w:p>
    <w:p>
      <w:pPr>
        <w:spacing w:after="0" w:line="86" w:lineRule="exact"/>
        <w:rPr>
          <w:sz w:val="20"/>
          <w:szCs w:val="20"/>
          <w:color w:val="auto"/>
        </w:rPr>
      </w:pPr>
    </w:p>
    <w:p>
      <w:pPr>
        <w:ind w:left="820" w:right="780" w:hanging="666"/>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Washington Post Company Incentive Compensation Plan as adopted January 20, 2005 (incorporated by reference to Exhibit 10.1 to the Company’s Current Report on Form 8-K dated January 20,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160" w:hanging="673"/>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Washington Post Company Stock Option Plan as amended and restated effective May 31, 2003 (incorporated by reference to Exhibit 10.1 to the Company’s Quarterly Report on Form 10-Q for the quarter ended September 28, 2003).</w:t>
      </w:r>
    </w:p>
    <w:p>
      <w:pPr>
        <w:spacing w:after="0" w:line="78" w:lineRule="exact"/>
        <w:rPr>
          <w:sz w:val="20"/>
          <w:szCs w:val="20"/>
          <w:color w:val="auto"/>
        </w:rPr>
      </w:pPr>
    </w:p>
    <w:p>
      <w:pPr>
        <w:ind w:left="820" w:hanging="673"/>
        <w:spacing w:after="0" w:line="332"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Washington Post Company Supplemental Executive Retirement Plan as amended and restated through March 14, 2002 (incorporated by reference to Exhibit 10.4 to the Company’s Annual Report on Form 10-K for the fiscal year ended December 30, 2001).</w:t>
      </w:r>
    </w:p>
    <w:p>
      <w:pPr>
        <w:spacing w:after="0" w:line="31"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The Washington Post Company Deferred Compensation Plan as amended and restated effective May 12, 2005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 to the Company’s Current Report on Form 8-K dated May 12, 2005).</w:t>
      </w:r>
    </w:p>
    <w:p>
      <w:pPr>
        <w:spacing w:after="0" w:line="111"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Calculation of earnings per share of common stock.</w:t>
      </w:r>
    </w:p>
    <w:p>
      <w:pPr>
        <w:spacing w:after="0" w:line="117"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the Chief Executive Officer.</w:t>
      </w:r>
    </w:p>
    <w:p>
      <w:pPr>
        <w:spacing w:after="0" w:line="117"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the Chief Financial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November 7, 2005</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November 7, 2005</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Exhibit 11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00" w:type="dxa"/>
            <w:vAlign w:val="bottom"/>
          </w:tcPr>
          <w:p>
            <w:pPr>
              <w:jc w:val="center"/>
              <w:ind w:left="3792"/>
              <w:spacing w:after="0"/>
              <w:rPr>
                <w:sz w:val="20"/>
                <w:szCs w:val="20"/>
                <w:color w:val="auto"/>
              </w:rPr>
            </w:pPr>
            <w:r>
              <w:rPr>
                <w:rFonts w:ascii="Arial" w:cs="Arial" w:eastAsia="Arial" w:hAnsi="Arial"/>
                <w:sz w:val="18"/>
                <w:szCs w:val="18"/>
                <w:color w:val="auto"/>
                <w:w w:val="93"/>
              </w:rPr>
              <w:t>THE WASHINGTON POST COMPANY</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500" w:type="dxa"/>
            <w:vAlign w:val="bottom"/>
          </w:tcPr>
          <w:p>
            <w:pPr>
              <w:jc w:val="center"/>
              <w:ind w:left="3792"/>
              <w:spacing w:after="0"/>
              <w:rPr>
                <w:sz w:val="20"/>
                <w:szCs w:val="20"/>
                <w:color w:val="auto"/>
              </w:rPr>
            </w:pPr>
            <w:r>
              <w:rPr>
                <w:rFonts w:ascii="Arial" w:cs="Arial" w:eastAsia="Arial" w:hAnsi="Arial"/>
                <w:sz w:val="18"/>
                <w:szCs w:val="18"/>
                <w:color w:val="auto"/>
                <w:w w:val="94"/>
              </w:rPr>
              <w:t>CALCULATION OF EARNINGS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jc w:val="center"/>
              <w:ind w:left="3812"/>
              <w:spacing w:after="0"/>
              <w:rPr>
                <w:sz w:val="20"/>
                <w:szCs w:val="20"/>
                <w:color w:val="auto"/>
              </w:rPr>
            </w:pPr>
            <w:r>
              <w:rPr>
                <w:rFonts w:ascii="Arial" w:cs="Arial" w:eastAsia="Arial" w:hAnsi="Arial"/>
                <w:sz w:val="18"/>
                <w:szCs w:val="18"/>
                <w:color w:val="auto"/>
                <w:w w:val="92"/>
              </w:rPr>
              <w:t>PER SHARE OF COMMON STOCK</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jc w:val="center"/>
              <w:ind w:left="3812"/>
              <w:spacing w:after="0"/>
              <w:rPr>
                <w:sz w:val="20"/>
                <w:szCs w:val="20"/>
                <w:color w:val="auto"/>
              </w:rPr>
            </w:pPr>
            <w:r>
              <w:rPr>
                <w:rFonts w:ascii="Arial" w:cs="Arial" w:eastAsia="Arial" w:hAnsi="Arial"/>
                <w:sz w:val="18"/>
                <w:szCs w:val="18"/>
                <w:color w:val="auto"/>
                <w:w w:val="86"/>
              </w:rPr>
              <w:t>(In thousands of shares)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Thirteen Weeks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October 2,</w:t>
            </w:r>
          </w:p>
        </w:tc>
        <w:tc>
          <w:tcPr>
            <w:tcW w:w="3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26,</w:t>
            </w:r>
          </w:p>
        </w:tc>
        <w:tc>
          <w:tcPr>
            <w:tcW w:w="3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October 2,</w:t>
            </w:r>
          </w:p>
        </w:tc>
        <w:tc>
          <w:tcPr>
            <w:tcW w:w="3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4"/>
              </w:rPr>
              <w:t>Issuance of shares of Class B common stock (weighted), net of forfeiture of restricted stock awards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66,313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210,923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2005</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2005</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October 2, 2005 (the “Report”), I, Donald E. Graham, Chief Executive Officer (principal executive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4269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2005</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October 2, 2005 (the “Report”), I, John B. Morse, Jr., Vice President-Finance (principal financial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4269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2019-12-13T08:07:18Z</dcterms:created>
  <dcterms:modified xsi:type="dcterms:W3CDTF">2019-12-13T08:07:18Z</dcterms:modified>
</cp:coreProperties>
</file>